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48930105"/>
      <w:bookmarkEnd w:id="2"/>
      <w:bookmarkStart w:id="3" w:name="_Hlt450066087"/>
      <w:bookmarkEnd w:id="3"/>
      <w:bookmarkStart w:id="4" w:name="_Hlt450051172"/>
      <w:bookmarkEnd w:id="4"/>
      <w:bookmarkStart w:id="5" w:name="_Hlt449016246"/>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140</w:t>
      </w:r>
      <w:r>
        <w:rPr>
          <w:rFonts w:hint="eastAsia" w:ascii="Arial" w:hAnsi="Arial" w:cs="Arial"/>
          <w:b/>
          <w:sz w:val="24"/>
          <w:szCs w:val="24"/>
          <w:lang w:val="en-US" w:eastAsia="zh-CN"/>
        </w:rPr>
        <w:t>30</w:t>
      </w:r>
    </w:p>
    <w:p>
      <w:pPr>
        <w:rPr>
          <w:rFonts w:ascii="Arial" w:hAnsi="Arial" w:cs="Arial"/>
          <w:b/>
          <w:sz w:val="24"/>
          <w:szCs w:val="24"/>
        </w:rPr>
      </w:pPr>
      <w:r>
        <w:rPr>
          <w:rFonts w:ascii="Arial" w:hAnsi="Arial" w:cs="Arial"/>
          <w:b/>
          <w:sz w:val="24"/>
          <w:szCs w:val="24"/>
        </w:rPr>
        <w:t>Prague, CZ, 13th – 17th October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UE RF requirements for (e)RedCap enh</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7.4.3.1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(e)RedCap UE enhancement</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(e)RedCap enhancement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pStyle w:val="34"/>
              <w:numPr>
                <w:ilvl w:val="0"/>
                <w:numId w:val="8"/>
              </w:numPr>
              <w:overflowPunct w:val="0"/>
              <w:autoSpaceDE w:val="0"/>
              <w:autoSpaceDN w:val="0"/>
              <w:adjustRightInd w:val="0"/>
              <w:spacing w:after="120"/>
              <w:jc w:val="both"/>
              <w:textAlignment w:val="baseline"/>
              <w:rPr>
                <w:sz w:val="20"/>
                <w:szCs w:val="20"/>
                <w:lang w:val="en-US"/>
              </w:rPr>
            </w:pPr>
            <w:r>
              <w:rPr>
                <w:sz w:val="20"/>
                <w:szCs w:val="20"/>
              </w:rPr>
              <w:t>Specify the following requirements for (e)RedCap UEs</w:t>
            </w:r>
            <w:r>
              <w:rPr>
                <w:rFonts w:hint="eastAsia"/>
                <w:sz w:val="20"/>
                <w:szCs w:val="20"/>
                <w:lang w:eastAsia="zh-CN"/>
              </w:rPr>
              <w:t xml:space="preserve"> [RAN4]</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Relaxed RLM/BFD RRM requirements</w:t>
            </w:r>
          </w:p>
          <w:p>
            <w:pPr>
              <w:numPr>
                <w:ilvl w:val="2"/>
                <w:numId w:val="8"/>
              </w:numPr>
              <w:overflowPunct w:val="0"/>
              <w:autoSpaceDE w:val="0"/>
              <w:autoSpaceDN w:val="0"/>
              <w:adjustRightInd w:val="0"/>
              <w:spacing w:after="120"/>
              <w:textAlignment w:val="baseline"/>
              <w:rPr>
                <w:sz w:val="20"/>
                <w:szCs w:val="20"/>
                <w:lang w:val="en-US"/>
              </w:rPr>
            </w:pPr>
            <w:r>
              <w:rPr>
                <w:sz w:val="20"/>
                <w:szCs w:val="20"/>
                <w:lang w:val="en-US"/>
              </w:rPr>
              <w:t>Use R17 RLM/BFD relaxation for legacy UE as</w:t>
            </w:r>
            <w:r>
              <w:rPr>
                <w:rFonts w:hint="eastAsia"/>
                <w:sz w:val="20"/>
                <w:szCs w:val="20"/>
                <w:lang w:val="en-US" w:eastAsia="zh-CN"/>
              </w:rPr>
              <w:t xml:space="preserve"> a</w:t>
            </w:r>
            <w:r>
              <w:rPr>
                <w:sz w:val="20"/>
                <w:szCs w:val="20"/>
                <w:lang w:val="en-US"/>
              </w:rPr>
              <w:t xml:space="preserve"> baseline</w:t>
            </w:r>
          </w:p>
          <w:p>
            <w:pPr>
              <w:numPr>
                <w:ilvl w:val="1"/>
                <w:numId w:val="8"/>
              </w:numPr>
              <w:overflowPunct w:val="0"/>
              <w:autoSpaceDE w:val="0"/>
              <w:autoSpaceDN w:val="0"/>
              <w:adjustRightInd w:val="0"/>
              <w:spacing w:after="180"/>
              <w:textAlignment w:val="baseline"/>
              <w:rPr>
                <w:sz w:val="20"/>
                <w:szCs w:val="20"/>
                <w:lang w:val="en-US"/>
              </w:rPr>
            </w:pPr>
            <w:r>
              <w:rPr>
                <w:sz w:val="20"/>
                <w:szCs w:val="20"/>
                <w:lang w:val="en-US"/>
              </w:rPr>
              <w:t>Support of less than 5 MHz channel bandwidth (15</w:t>
            </w:r>
            <w:r>
              <w:rPr>
                <w:rFonts w:hint="eastAsia"/>
                <w:sz w:val="20"/>
                <w:szCs w:val="20"/>
                <w:lang w:val="en-US" w:eastAsia="zh-CN"/>
              </w:rPr>
              <w:t xml:space="preserve"> </w:t>
            </w:r>
            <w:r>
              <w:rPr>
                <w:sz w:val="20"/>
                <w:szCs w:val="20"/>
                <w:lang w:val="en-US"/>
              </w:rPr>
              <w:t>PRB transmission bandwidth configuration and 12</w:t>
            </w:r>
            <w:r>
              <w:rPr>
                <w:rFonts w:hint="eastAsia"/>
                <w:sz w:val="20"/>
                <w:szCs w:val="20"/>
                <w:lang w:val="en-US" w:eastAsia="zh-CN"/>
              </w:rPr>
              <w:t xml:space="preserve"> </w:t>
            </w:r>
            <w:r>
              <w:rPr>
                <w:sz w:val="20"/>
                <w:szCs w:val="20"/>
                <w:lang w:val="en-US"/>
              </w:rPr>
              <w:t>PRB SSB)</w:t>
            </w:r>
          </w:p>
          <w:p>
            <w:pPr>
              <w:numPr>
                <w:ilvl w:val="2"/>
                <w:numId w:val="8"/>
              </w:numPr>
              <w:overflowPunct w:val="0"/>
              <w:autoSpaceDE w:val="0"/>
              <w:autoSpaceDN w:val="0"/>
              <w:adjustRightInd w:val="0"/>
              <w:spacing w:after="120"/>
              <w:textAlignment w:val="baseline"/>
              <w:rPr>
                <w:sz w:val="20"/>
                <w:szCs w:val="20"/>
                <w:lang w:val="en-US"/>
              </w:rPr>
            </w:pPr>
            <w:r>
              <w:rPr>
                <w:sz w:val="20"/>
                <w:szCs w:val="20"/>
                <w:lang w:val="en-US"/>
              </w:rPr>
              <w:t>RF requirements, considering example bands: n100, n106, n26, n28 and n85</w:t>
            </w:r>
          </w:p>
          <w:p>
            <w:pPr>
              <w:numPr>
                <w:ilvl w:val="2"/>
                <w:numId w:val="8"/>
              </w:numPr>
              <w:overflowPunct w:val="0"/>
              <w:autoSpaceDE w:val="0"/>
              <w:autoSpaceDN w:val="0"/>
              <w:adjustRightInd w:val="0"/>
              <w:spacing w:after="180"/>
              <w:textAlignment w:val="baseline"/>
              <w:rPr>
                <w:sz w:val="20"/>
                <w:szCs w:val="20"/>
                <w:lang w:val="en-US"/>
              </w:rPr>
            </w:pPr>
            <w:r>
              <w:rPr>
                <w:sz w:val="20"/>
                <w:szCs w:val="20"/>
                <w:lang w:val="en-US"/>
              </w:rPr>
              <w:t xml:space="preserve">RRM requirements including </w:t>
            </w:r>
            <w:r>
              <w:rPr>
                <w:rFonts w:hint="eastAsia"/>
                <w:sz w:val="20"/>
                <w:szCs w:val="20"/>
                <w:lang w:val="en-US" w:eastAsia="zh-CN"/>
              </w:rPr>
              <w:t>r</w:t>
            </w:r>
            <w:r>
              <w:rPr>
                <w:sz w:val="20"/>
                <w:szCs w:val="20"/>
                <w:lang w:val="en-US"/>
              </w:rPr>
              <w:t>elaxed RLM/BFD RRM requirements</w:t>
            </w:r>
          </w:p>
          <w:p>
            <w:pPr>
              <w:pStyle w:val="34"/>
              <w:numPr>
                <w:ilvl w:val="2"/>
                <w:numId w:val="8"/>
              </w:numPr>
              <w:overflowPunct/>
              <w:autoSpaceDE/>
              <w:autoSpaceDN/>
              <w:adjustRightInd/>
              <w:spacing w:before="60" w:after="60"/>
              <w:textAlignment w:val="auto"/>
              <w:rPr>
                <w:sz w:val="20"/>
                <w:szCs w:val="20"/>
                <w:lang w:val="en-US"/>
              </w:rPr>
            </w:pPr>
            <w:r>
              <w:rPr>
                <w:sz w:val="20"/>
                <w:szCs w:val="20"/>
                <w:lang w:val="en-US"/>
              </w:rPr>
              <w:t>Note 1: Use R18 3</w:t>
            </w:r>
            <w:r>
              <w:rPr>
                <w:rFonts w:hint="eastAsia"/>
                <w:sz w:val="20"/>
                <w:szCs w:val="20"/>
                <w:lang w:val="en-US" w:eastAsia="zh-CN"/>
              </w:rPr>
              <w:t xml:space="preserve"> </w:t>
            </w:r>
            <w:r>
              <w:rPr>
                <w:sz w:val="20"/>
                <w:szCs w:val="20"/>
                <w:lang w:val="en-US"/>
              </w:rPr>
              <w:t xml:space="preserve">MHz requirements for non-RedCap UE as a baseline </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Note 2: Consider both 1Rx and 2Rx (e)Red</w:t>
            </w:r>
            <w:r>
              <w:rPr>
                <w:rFonts w:hint="eastAsia"/>
                <w:sz w:val="20"/>
                <w:szCs w:val="20"/>
                <w:lang w:val="en-US" w:eastAsia="zh-CN"/>
              </w:rPr>
              <w:t>C</w:t>
            </w:r>
            <w:r>
              <w:rPr>
                <w:sz w:val="20"/>
                <w:szCs w:val="20"/>
                <w:lang w:val="en-US"/>
              </w:rPr>
              <w:t>ap UEs and HD-FDD</w:t>
            </w:r>
          </w:p>
          <w:p>
            <w:pPr>
              <w:numPr>
                <w:ilvl w:val="0"/>
                <w:numId w:val="8"/>
              </w:numPr>
              <w:overflowPunct w:val="0"/>
              <w:autoSpaceDE w:val="0"/>
              <w:autoSpaceDN w:val="0"/>
              <w:adjustRightInd w:val="0"/>
              <w:spacing w:after="120"/>
              <w:textAlignment w:val="baseline"/>
              <w:rPr>
                <w:sz w:val="20"/>
                <w:szCs w:val="20"/>
                <w:lang w:val="en-US"/>
              </w:rPr>
            </w:pPr>
            <w:r>
              <w:rPr>
                <w:sz w:val="20"/>
                <w:szCs w:val="20"/>
                <w:lang w:val="en-US"/>
              </w:rPr>
              <w:t>For intra-band co-located contiguous CA, specify necessary RRM requirements to support data scheduling on SCell prior to UE transmitting valid CSI report (to be started in Q4 2026)</w:t>
            </w:r>
            <w:r>
              <w:rPr>
                <w:rFonts w:hint="eastAsia"/>
                <w:sz w:val="20"/>
                <w:szCs w:val="20"/>
                <w:lang w:val="en-US" w:eastAsia="zh-CN"/>
              </w:rPr>
              <w:t xml:space="preserve"> [RAN4]</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Note 3: No new PDSCH demodulation requirement shall be defined.</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bidi w:val="0"/>
        <w:rPr>
          <w:rFonts w:hint="default"/>
          <w:sz w:val="20"/>
          <w:szCs w:val="18"/>
          <w:lang w:val="en-US" w:eastAsia="zh-CN"/>
        </w:rPr>
      </w:pPr>
      <w:r>
        <w:rPr>
          <w:rFonts w:hint="eastAsia"/>
          <w:sz w:val="20"/>
          <w:szCs w:val="18"/>
          <w:lang w:val="en-US" w:eastAsia="zh-CN"/>
        </w:rPr>
        <w:t>To support less than 5MHz channel bandwidth for (e)RedCap UEs, the following requirements have some impact.</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b/>
          <w:kern w:val="0"/>
          <w:sz w:val="24"/>
          <w:szCs w:val="24"/>
          <w:highlight w:val="none"/>
          <w:lang w:val="en-US" w:eastAsia="zh-CN"/>
        </w:rPr>
        <w:t>2.1 Channel bandwidth for (e)RedCap</w:t>
      </w:r>
    </w:p>
    <w:p>
      <w:pPr>
        <w:rPr>
          <w:rFonts w:hint="default"/>
          <w:sz w:val="20"/>
          <w:szCs w:val="18"/>
          <w:lang w:val="en-US" w:eastAsia="zh-CN"/>
        </w:rPr>
      </w:pPr>
      <w:r>
        <w:rPr>
          <w:rFonts w:hint="eastAsia"/>
          <w:sz w:val="20"/>
          <w:szCs w:val="18"/>
          <w:lang w:val="en-US" w:eastAsia="zh-CN"/>
        </w:rPr>
        <w:t xml:space="preserve">Regarding section 5.3I Channel bandwidth for (e)RedCap, it specifies that 3MHz CBW is not applicable for (e)RedCap UE in the current release. In Rel-20 spec, this wording needs to be deleted. </w:t>
      </w:r>
    </w:p>
    <w:p>
      <w:pPr>
        <w:bidi w:val="0"/>
        <w:jc w:val="center"/>
        <w:rPr>
          <w:rFonts w:hint="eastAsia"/>
          <w:b/>
          <w:bCs/>
          <w:sz w:val="20"/>
          <w:szCs w:val="18"/>
          <w:lang w:val="en-US" w:eastAsia="zh-CN"/>
        </w:rPr>
      </w:pPr>
      <w:r>
        <w:drawing>
          <wp:inline distT="0" distB="0" distL="114300" distR="114300">
            <wp:extent cx="5327650" cy="1402715"/>
            <wp:effectExtent l="15875" t="15875" r="81915" b="749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327650" cy="1402715"/>
                    </a:xfrm>
                    <a:prstGeom prst="rect">
                      <a:avLst/>
                    </a:prstGeom>
                    <a:noFill/>
                    <a:ln>
                      <a:noFill/>
                    </a:ln>
                    <a:effectLst>
                      <a:outerShdw blurRad="50800" dist="38100" dir="2700000" algn="tl" rotWithShape="0">
                        <a:prstClr val="black">
                          <a:alpha val="40000"/>
                        </a:prstClr>
                      </a:outerShdw>
                    </a:effectLst>
                  </pic:spPr>
                </pic:pic>
              </a:graphicData>
            </a:graphic>
          </wp:inline>
        </w:drawing>
      </w:r>
    </w:p>
    <w:p>
      <w:pPr>
        <w:bidi w:val="0"/>
        <w:rPr>
          <w:rFonts w:hint="eastAsia"/>
          <w:b/>
          <w:bCs/>
          <w:sz w:val="20"/>
          <w:szCs w:val="18"/>
          <w:lang w:val="en-US" w:eastAsia="zh-CN"/>
        </w:rPr>
      </w:pPr>
      <w:r>
        <w:rPr>
          <w:rFonts w:hint="eastAsia"/>
          <w:b/>
          <w:bCs/>
          <w:sz w:val="20"/>
          <w:szCs w:val="18"/>
          <w:lang w:val="en-US" w:eastAsia="zh-CN"/>
        </w:rPr>
        <w:t xml:space="preserve">Proposal 1: Delete </w:t>
      </w:r>
      <w:r>
        <w:rPr>
          <w:rFonts w:hint="default"/>
          <w:b/>
          <w:bCs/>
          <w:sz w:val="20"/>
          <w:szCs w:val="18"/>
          <w:lang w:val="en-US" w:eastAsia="zh-CN"/>
        </w:rPr>
        <w:t>“</w:t>
      </w:r>
      <w:r>
        <w:rPr>
          <w:rFonts w:hint="eastAsia"/>
          <w:b/>
          <w:bCs/>
          <w:sz w:val="20"/>
          <w:szCs w:val="18"/>
          <w:lang w:val="en-US" w:eastAsia="zh-CN"/>
        </w:rPr>
        <w:t>3MHz CBW is not applicable for (e)RedCap UE in the current release</w:t>
      </w:r>
      <w:r>
        <w:rPr>
          <w:rFonts w:hint="default"/>
          <w:b/>
          <w:bCs/>
          <w:sz w:val="20"/>
          <w:szCs w:val="18"/>
          <w:lang w:val="en-US" w:eastAsia="zh-CN"/>
        </w:rPr>
        <w:t>”</w:t>
      </w:r>
      <w:r>
        <w:rPr>
          <w:rFonts w:hint="eastAsia"/>
          <w:b/>
          <w:bCs/>
          <w:sz w:val="20"/>
          <w:szCs w:val="18"/>
          <w:lang w:val="en-US" w:eastAsia="zh-CN"/>
        </w:rPr>
        <w:t xml:space="preserve"> in Rel-20 spec.</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0"/>
          <w:szCs w:val="18"/>
          <w:lang w:val="en-US" w:eastAsia="zh-CN"/>
        </w:rPr>
      </w:pPr>
      <w:r>
        <w:rPr>
          <w:rFonts w:hint="eastAsia"/>
          <w:b/>
          <w:kern w:val="0"/>
          <w:sz w:val="24"/>
          <w:szCs w:val="24"/>
          <w:highlight w:val="none"/>
          <w:lang w:val="en-US" w:eastAsia="zh-CN"/>
        </w:rPr>
        <w:t xml:space="preserve">2.2 </w:t>
      </w:r>
      <w:r>
        <w:rPr>
          <w:rFonts w:hint="eastAsia"/>
          <w:sz w:val="24"/>
          <w:szCs w:val="24"/>
          <w:lang w:val="en-US" w:eastAsia="zh-CN"/>
        </w:rPr>
        <w:t>Reference sensitivity for (e)RedCap</w:t>
      </w:r>
    </w:p>
    <w:p>
      <w:pPr>
        <w:bidi w:val="0"/>
        <w:rPr>
          <w:rFonts w:hint="default"/>
          <w:sz w:val="20"/>
          <w:szCs w:val="20"/>
          <w:lang w:val="en-US" w:eastAsia="zh-CN"/>
        </w:rPr>
      </w:pPr>
      <w:r>
        <w:rPr>
          <w:rFonts w:hint="eastAsia"/>
          <w:sz w:val="20"/>
          <w:szCs w:val="20"/>
          <w:lang w:val="en-US" w:eastAsia="zh-CN"/>
        </w:rPr>
        <w:t xml:space="preserve">To support less than 5MHz channel bandwidth for (e)RedCap UEs, Reference sensitivity needs to be defined for HD-FDD with 1Rx and 2Rx. </w:t>
      </w:r>
    </w:p>
    <w:p>
      <w:pPr>
        <w:bidi w:val="0"/>
        <w:rPr>
          <w:rFonts w:hint="eastAsia"/>
          <w:sz w:val="20"/>
          <w:szCs w:val="20"/>
          <w:lang w:val="en-US" w:eastAsia="zh-CN"/>
        </w:rPr>
      </w:pPr>
      <w:r>
        <w:rPr>
          <w:rFonts w:hint="eastAsia"/>
          <w:b/>
          <w:bCs/>
          <w:sz w:val="20"/>
          <w:szCs w:val="20"/>
          <w:lang w:val="en-US" w:eastAsia="zh-CN"/>
        </w:rPr>
        <w:t>REFSENS for HD-FDD with 2Rx</w:t>
      </w:r>
    </w:p>
    <w:p>
      <w:pPr>
        <w:bidi w:val="0"/>
        <w:rPr>
          <w:rFonts w:hint="eastAsia"/>
          <w:sz w:val="20"/>
          <w:szCs w:val="20"/>
          <w:lang w:val="en-US" w:eastAsia="zh-CN"/>
        </w:rPr>
      </w:pPr>
      <w:r>
        <w:rPr>
          <w:rFonts w:hint="eastAsia"/>
          <w:sz w:val="20"/>
          <w:szCs w:val="20"/>
          <w:lang w:val="en-US" w:eastAsia="zh-CN"/>
        </w:rPr>
        <w:t>For HD-FDD (e)RedCap UE with 2Rx, there are two principles to define REFSENS for 3MHz.</w:t>
      </w:r>
    </w:p>
    <w:p>
      <w:pPr>
        <w:bidi w:val="0"/>
        <w:rPr>
          <w:rFonts w:hint="default"/>
          <w:sz w:val="20"/>
          <w:szCs w:val="20"/>
          <w:lang w:val="en-US" w:eastAsia="zh-CN"/>
        </w:rPr>
      </w:pPr>
      <w:r>
        <w:rPr>
          <w:rFonts w:hint="eastAsia"/>
          <w:sz w:val="20"/>
          <w:szCs w:val="20"/>
          <w:lang w:val="en-US" w:eastAsia="zh-CN"/>
        </w:rPr>
        <w:t>Principle 1:</w:t>
      </w:r>
    </w:p>
    <w:p>
      <w:pPr>
        <w:bidi w:val="0"/>
        <w:rPr>
          <w:rFonts w:hint="default"/>
          <w:sz w:val="20"/>
          <w:szCs w:val="20"/>
          <w:lang w:val="en-US" w:eastAsia="zh-CN"/>
        </w:rPr>
      </w:pPr>
      <w:r>
        <w:rPr>
          <w:rFonts w:hint="eastAsia"/>
          <w:sz w:val="20"/>
          <w:szCs w:val="20"/>
          <w:lang w:val="en-US" w:eastAsia="zh-CN"/>
        </w:rPr>
        <w:t>The first is to use similar tightening principle for HD-FDD (e)RedCap UE with 2Rx, in which REFSENS for HD-FDD is a little more tightened than FDD due to lack of Tx self-interference and less insertion loss in the front-end architecture. The rule of tightening value for 5MHz is shown in the following table.</w:t>
      </w:r>
    </w:p>
    <w:p>
      <w:pPr>
        <w:pStyle w:val="56"/>
        <w:rPr>
          <w:rFonts w:hint="default"/>
          <w:sz w:val="20"/>
          <w:szCs w:val="20"/>
          <w:lang w:val="en-US"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2-1</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NR </w:t>
      </w:r>
      <w:r>
        <w:rPr>
          <w:rFonts w:hint="default" w:ascii="Times New Roman" w:hAnsi="Times New Roman" w:cs="Times New Roman"/>
          <w:sz w:val="20"/>
          <w:szCs w:val="20"/>
        </w:rPr>
        <w:t>HD-FDD 5MHz REFSENS tightening for different NR bands</w:t>
      </w:r>
    </w:p>
    <w:tbl>
      <w:tblPr>
        <w:tblStyle w:val="24"/>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2610"/>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FD-FDD 5MHz REFSENS</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HD-FDD REFSENS Tightening</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 -100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n1, n18, n24,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&gt; -100 dBm and ≤ -99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0.5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n30, n65, n66, n74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&gt; -99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0.8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n2, n3, n5, n7, n8, n12, n13, n14, n20, n25, n26, n28, n71, n85</w:t>
            </w:r>
          </w:p>
        </w:tc>
      </w:tr>
    </w:tbl>
    <w:p>
      <w:pPr>
        <w:bidi w:val="0"/>
        <w:rPr>
          <w:rFonts w:hint="default"/>
          <w:sz w:val="20"/>
          <w:szCs w:val="20"/>
          <w:lang w:val="en-US" w:eastAsia="zh-CN"/>
        </w:rPr>
      </w:pPr>
      <w:r>
        <w:rPr>
          <w:rFonts w:hint="eastAsia"/>
          <w:sz w:val="20"/>
          <w:szCs w:val="20"/>
          <w:lang w:val="en-US" w:eastAsia="zh-CN"/>
        </w:rPr>
        <w:t>In our understanding, same tightening value can be reused for 3MHz. Based on the REFSENS for FDD bands n100, n106, n26, n28 and n85 as shown in Table 2.2-2, the tightening value is 0 dB for bands n28, n100 and 0.5 dB for bands n26, n85, n106 respectively. Therefore, REFSENS can be defined as in Table 2.2-3 for HD-FDD with 2Rx for 3MHz channel bandwidth.</w:t>
      </w:r>
    </w:p>
    <w:p>
      <w:pPr>
        <w:pStyle w:val="56"/>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2.2-2:</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3MHz </w:t>
      </w:r>
      <w:r>
        <w:rPr>
          <w:rFonts w:hint="default" w:ascii="Times New Roman" w:hAnsi="Times New Roman" w:cs="Times New Roman"/>
          <w:sz w:val="20"/>
          <w:szCs w:val="20"/>
        </w:rPr>
        <w:t>REFSENS for FDD bands</w:t>
      </w:r>
      <w:r>
        <w:rPr>
          <w:rFonts w:hint="eastAsia" w:ascii="Times New Roman" w:hAnsi="Times New Roman" w:cs="Times New Roman"/>
          <w:sz w:val="20"/>
          <w:szCs w:val="20"/>
          <w:lang w:val="en-US" w:eastAsia="zh-CN"/>
        </w:rPr>
        <w:t xml:space="preserve"> with 2Rx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87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jc w:val="center"/>
        </w:trPr>
        <w:tc>
          <w:tcPr>
            <w:tcW w:w="0" w:type="auto"/>
            <w:tcBorders>
              <w:bottom w:val="single" w:color="auto" w:sz="4" w:space="0"/>
            </w:tcBorders>
            <w:shd w:val="clear" w:color="auto" w:fill="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Operating Band</w:t>
            </w:r>
          </w:p>
        </w:tc>
        <w:tc>
          <w:tcPr>
            <w:tcW w:w="0" w:type="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SCS kHz</w:t>
            </w:r>
          </w:p>
        </w:tc>
        <w:tc>
          <w:tcPr>
            <w:tcW w:w="0" w:type="auto"/>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3</w:t>
            </w:r>
            <w:r>
              <w:rPr>
                <w:rFonts w:hint="eastAsia" w:eastAsia="宋体"/>
                <w:lang w:val="en-US" w:eastAsia="zh-CN"/>
              </w:rPr>
              <w:t xml:space="preserve"> </w:t>
            </w:r>
            <w:r>
              <w:rPr>
                <w:rFonts w:eastAsia="PMingLiU"/>
              </w:rPr>
              <w:t>MHz</w:t>
            </w:r>
            <w:r>
              <w:rPr>
                <w:rFonts w:hint="eastAsia" w:eastAsia="宋体"/>
                <w:lang w:val="en-US" w:eastAsia="zh-CN"/>
              </w:rPr>
              <w:t xml:space="preserve"> </w:t>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n26</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n28</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val="en-US" w:eastAsia="en-GB"/>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等线" w:cs="Arial"/>
                <w:lang w:eastAsia="en-GB"/>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eastAsia="zh-CN"/>
              </w:rPr>
              <w:t>n</w:t>
            </w:r>
            <w:r>
              <w:rPr>
                <w:lang w:eastAsia="zh-CN"/>
              </w:rPr>
              <w:t>85</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cs="Arial"/>
                <w:szCs w:val="18"/>
              </w:rPr>
            </w:pPr>
            <w:r>
              <w:rPr>
                <w:rFonts w:eastAsia="MS Mincho" w:cs="Arial"/>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n100</w:t>
            </w:r>
          </w:p>
        </w:tc>
        <w:tc>
          <w:tcPr>
            <w:tcW w:w="879" w:type="dxa"/>
            <w:vAlign w:val="top"/>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1229" w:type="dxa"/>
            <w:vAlign w:val="center"/>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cs="Arial"/>
                <w:szCs w:val="18"/>
              </w:rPr>
            </w:pPr>
            <w:r>
              <w:rPr>
                <w:rFonts w:eastAsia="MS Mincho" w:cs="Arial"/>
              </w:rPr>
              <w:t>-102.2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n106</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rPr>
            </w:pPr>
            <w:r>
              <w:rPr>
                <w:rFonts w:hint="eastAsia" w:eastAsia="宋体" w:cs="Arial"/>
                <w:lang w:eastAsia="zh-CN"/>
              </w:rPr>
              <w:t>-99.2</w:t>
            </w:r>
          </w:p>
        </w:tc>
      </w:tr>
    </w:tbl>
    <w:p>
      <w:pPr>
        <w:pStyle w:val="56"/>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2.2-3:</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3MHz </w:t>
      </w:r>
      <w:r>
        <w:rPr>
          <w:rFonts w:hint="default" w:ascii="Times New Roman" w:hAnsi="Times New Roman" w:cs="Times New Roman"/>
          <w:sz w:val="20"/>
          <w:szCs w:val="20"/>
        </w:rPr>
        <w:t xml:space="preserve">REFSENS for </w:t>
      </w:r>
      <w:r>
        <w:rPr>
          <w:rFonts w:hint="eastAsia" w:ascii="Times New Roman" w:hAnsi="Times New Roman" w:cs="Times New Roman"/>
          <w:sz w:val="20"/>
          <w:szCs w:val="20"/>
          <w:lang w:val="en-US" w:eastAsia="zh-CN"/>
        </w:rPr>
        <w:t>HD-</w:t>
      </w:r>
      <w:r>
        <w:rPr>
          <w:rFonts w:hint="default" w:ascii="Times New Roman" w:hAnsi="Times New Roman" w:cs="Times New Roman"/>
          <w:sz w:val="20"/>
          <w:szCs w:val="20"/>
        </w:rPr>
        <w:t>FDD bands</w:t>
      </w:r>
      <w:r>
        <w:rPr>
          <w:rFonts w:hint="eastAsia" w:ascii="Times New Roman" w:hAnsi="Times New Roman" w:cs="Times New Roman"/>
          <w:sz w:val="20"/>
          <w:szCs w:val="20"/>
          <w:lang w:val="en-US" w:eastAsia="zh-CN"/>
        </w:rPr>
        <w:t xml:space="preserve"> with 2Rx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87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0" w:type="auto"/>
            <w:tcBorders>
              <w:bottom w:val="single" w:color="auto" w:sz="4" w:space="0"/>
            </w:tcBorders>
            <w:shd w:val="clear" w:color="auto" w:fill="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Operating Band</w:t>
            </w:r>
          </w:p>
        </w:tc>
        <w:tc>
          <w:tcPr>
            <w:tcW w:w="0" w:type="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SCS kHz</w:t>
            </w:r>
          </w:p>
        </w:tc>
        <w:tc>
          <w:tcPr>
            <w:tcW w:w="0" w:type="auto"/>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3</w:t>
            </w:r>
            <w:r>
              <w:rPr>
                <w:rFonts w:hint="eastAsia" w:eastAsia="宋体"/>
                <w:lang w:val="en-US" w:eastAsia="zh-CN"/>
              </w:rPr>
              <w:t xml:space="preserve"> </w:t>
            </w:r>
            <w:r>
              <w:rPr>
                <w:rFonts w:eastAsia="PMingLiU"/>
              </w:rPr>
              <w:t>MHz</w:t>
            </w:r>
            <w:r>
              <w:rPr>
                <w:rFonts w:hint="eastAsia" w:eastAsia="宋体"/>
                <w:lang w:val="en-US" w:eastAsia="zh-CN"/>
              </w:rPr>
              <w:t xml:space="preserve"> </w:t>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n26</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cs="Arial"/>
              </w:rPr>
              <w:t>-</w:t>
            </w:r>
            <w:r>
              <w:rPr>
                <w:rFonts w:hint="eastAsia" w:cs="Arial"/>
                <w:lang w:val="en-US"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n28</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val="en-US" w:eastAsia="en-GB"/>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等线" w:cs="Arial"/>
                <w:lang w:eastAsia="en-GB"/>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eastAsia="zh-CN"/>
              </w:rPr>
              <w:t>n</w:t>
            </w:r>
            <w:r>
              <w:rPr>
                <w:lang w:eastAsia="zh-CN"/>
              </w:rPr>
              <w:t>85</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cs="Arial"/>
                <w:szCs w:val="18"/>
                <w:lang w:eastAsia="zh-CN"/>
              </w:rPr>
            </w:pPr>
            <w:r>
              <w:rPr>
                <w:rFonts w:eastAsia="MS Mincho" w:cs="Arial"/>
              </w:rPr>
              <w:t>-99.</w:t>
            </w:r>
            <w:r>
              <w:rPr>
                <w:rFonts w:hint="eastAsia" w:eastAsia="宋体" w:cs="Arial"/>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n100</w:t>
            </w:r>
          </w:p>
        </w:tc>
        <w:tc>
          <w:tcPr>
            <w:tcW w:w="879" w:type="dxa"/>
            <w:vAlign w:val="top"/>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1229" w:type="dxa"/>
            <w:vAlign w:val="center"/>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cs="Arial"/>
                <w:szCs w:val="18"/>
              </w:rPr>
            </w:pPr>
            <w:r>
              <w:rPr>
                <w:rFonts w:eastAsia="MS Mincho" w:cs="Arial"/>
              </w:rPr>
              <w:t>-102.2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n106</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rPr>
            </w:pPr>
            <w:r>
              <w:rPr>
                <w:rFonts w:hint="eastAsia" w:eastAsia="宋体" w:cs="Arial"/>
                <w:lang w:eastAsia="zh-CN"/>
              </w:rPr>
              <w:t>-99.</w:t>
            </w:r>
            <w:r>
              <w:rPr>
                <w:rFonts w:hint="eastAsia" w:cs="Arial"/>
                <w:lang w:val="en-US" w:eastAsia="zh-CN"/>
              </w:rPr>
              <w:t>7</w:t>
            </w:r>
          </w:p>
        </w:tc>
      </w:tr>
    </w:tbl>
    <w:p>
      <w:pPr>
        <w:bidi w:val="0"/>
        <w:rPr>
          <w:rFonts w:hint="default"/>
          <w:sz w:val="20"/>
          <w:szCs w:val="20"/>
          <w:lang w:val="en-US" w:eastAsia="zh-CN"/>
        </w:rPr>
      </w:pPr>
    </w:p>
    <w:p>
      <w:pPr>
        <w:bidi w:val="0"/>
        <w:rPr>
          <w:rFonts w:hint="default"/>
          <w:sz w:val="20"/>
          <w:szCs w:val="20"/>
          <w:lang w:val="en-US" w:eastAsia="zh-CN"/>
        </w:rPr>
      </w:pPr>
      <w:r>
        <w:rPr>
          <w:rFonts w:hint="eastAsia"/>
          <w:sz w:val="20"/>
          <w:szCs w:val="20"/>
          <w:lang w:val="en-US" w:eastAsia="zh-CN"/>
        </w:rPr>
        <w:t>Principle 2:</w:t>
      </w:r>
    </w:p>
    <w:p>
      <w:pPr>
        <w:bidi w:val="0"/>
        <w:rPr>
          <w:rFonts w:hint="default"/>
          <w:sz w:val="20"/>
          <w:szCs w:val="20"/>
          <w:lang w:val="en-US" w:eastAsia="zh-CN"/>
        </w:rPr>
      </w:pPr>
      <w:r>
        <w:rPr>
          <w:rFonts w:hint="eastAsia"/>
          <w:sz w:val="20"/>
          <w:szCs w:val="20"/>
          <w:lang w:val="en-US" w:eastAsia="zh-CN"/>
        </w:rPr>
        <w:t>The second is to scale from 5MHz REFSENS for HD-FDD (e)RedCap UE with 2Rx. REFSENS for 3MHz non-(e)RedCap UE is scaled from 5MHz REFSENS. The same scaling factor can be used to derive REFSENS for HD-FDD (e)RedCap UE, and it will be -1.7dB for band n28 and -2.2dB for bands n26, n85, n100. Based on the 5MHz REFSENS for FDD bands n26, n28 and n85 as shown in Table 2.2-4, REFSENS can be defined as in Table 2.2-5 for HD-FDD with 2Rx for 3MHz channel bandwidth. For bands n100 and n106, (e)RedCap is not supported before Rel-20. Regarding 3MHz REFSENS for bands n100 and n106, we make the proposals as in Table 2.2-5.</w:t>
      </w:r>
    </w:p>
    <w:p>
      <w:pPr>
        <w:pStyle w:val="56"/>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2.2-4:</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5MHz </w:t>
      </w:r>
      <w:r>
        <w:rPr>
          <w:rFonts w:hint="default" w:ascii="Times New Roman" w:hAnsi="Times New Roman" w:cs="Times New Roman"/>
          <w:sz w:val="20"/>
          <w:szCs w:val="20"/>
        </w:rPr>
        <w:t xml:space="preserve">REFSENS for </w:t>
      </w:r>
      <w:r>
        <w:rPr>
          <w:rFonts w:hint="eastAsia" w:ascii="Times New Roman" w:hAnsi="Times New Roman" w:cs="Times New Roman"/>
          <w:sz w:val="20"/>
          <w:szCs w:val="20"/>
          <w:lang w:val="en-US" w:eastAsia="zh-CN"/>
        </w:rPr>
        <w:t>HD-</w:t>
      </w:r>
      <w:r>
        <w:rPr>
          <w:rFonts w:hint="default" w:ascii="Times New Roman" w:hAnsi="Times New Roman" w:cs="Times New Roman"/>
          <w:sz w:val="20"/>
          <w:szCs w:val="20"/>
        </w:rPr>
        <w:t>FDD bands</w:t>
      </w:r>
      <w:r>
        <w:rPr>
          <w:rFonts w:hint="eastAsia" w:ascii="Times New Roman" w:hAnsi="Times New Roman" w:cs="Times New Roman"/>
          <w:sz w:val="20"/>
          <w:szCs w:val="20"/>
          <w:lang w:val="en-US" w:eastAsia="zh-CN"/>
        </w:rPr>
        <w:t xml:space="preserve"> with 2Rx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87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0" w:type="auto"/>
            <w:tcBorders>
              <w:bottom w:val="single" w:color="auto" w:sz="4" w:space="0"/>
            </w:tcBorders>
            <w:shd w:val="clear" w:color="auto" w:fill="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Operating Band</w:t>
            </w:r>
          </w:p>
        </w:tc>
        <w:tc>
          <w:tcPr>
            <w:tcW w:w="0" w:type="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SCS kHz</w:t>
            </w:r>
          </w:p>
        </w:tc>
        <w:tc>
          <w:tcPr>
            <w:tcW w:w="0" w:type="auto"/>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eastAsia="宋体"/>
                <w:lang w:val="en-US" w:eastAsia="zh-CN"/>
              </w:rPr>
              <w:t xml:space="preserve">5 </w:t>
            </w:r>
            <w:r>
              <w:rPr>
                <w:rFonts w:eastAsia="PMingLiU"/>
              </w:rPr>
              <w:t>MHz</w:t>
            </w:r>
            <w:r>
              <w:rPr>
                <w:rFonts w:hint="eastAsia" w:eastAsia="宋体"/>
                <w:lang w:val="en-US" w:eastAsia="zh-CN"/>
              </w:rPr>
              <w:t xml:space="preserve"> </w:t>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n26</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eastAsia="zh-TW"/>
              </w:rPr>
              <w:t>-98.3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n28</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val="en-US" w:eastAsia="en-GB"/>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eastAsia="zh-TW"/>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eastAsia="zh-CN"/>
              </w:rPr>
              <w:t>n</w:t>
            </w:r>
            <w:r>
              <w:rPr>
                <w:lang w:eastAsia="zh-CN"/>
              </w:rPr>
              <w:t>85</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cs="Arial"/>
                <w:szCs w:val="18"/>
              </w:rPr>
            </w:pPr>
            <w:r>
              <w:rPr>
                <w:rFonts w:eastAsia="PMingLiU"/>
                <w:lang w:eastAsia="zh-TW"/>
              </w:rPr>
              <w:t>-97.8</w:t>
            </w:r>
          </w:p>
        </w:tc>
      </w:tr>
    </w:tbl>
    <w:p>
      <w:pPr>
        <w:pStyle w:val="56"/>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2.2-5:</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3MHz </w:t>
      </w:r>
      <w:r>
        <w:rPr>
          <w:rFonts w:hint="default" w:ascii="Times New Roman" w:hAnsi="Times New Roman" w:cs="Times New Roman"/>
          <w:sz w:val="20"/>
          <w:szCs w:val="20"/>
        </w:rPr>
        <w:t xml:space="preserve">REFSENS for </w:t>
      </w:r>
      <w:r>
        <w:rPr>
          <w:rFonts w:hint="eastAsia" w:ascii="Times New Roman" w:hAnsi="Times New Roman" w:cs="Times New Roman"/>
          <w:sz w:val="20"/>
          <w:szCs w:val="20"/>
          <w:lang w:val="en-US" w:eastAsia="zh-CN"/>
        </w:rPr>
        <w:t>HD-</w:t>
      </w:r>
      <w:r>
        <w:rPr>
          <w:rFonts w:hint="default" w:ascii="Times New Roman" w:hAnsi="Times New Roman" w:cs="Times New Roman"/>
          <w:sz w:val="20"/>
          <w:szCs w:val="20"/>
        </w:rPr>
        <w:t>FDD bands</w:t>
      </w:r>
      <w:r>
        <w:rPr>
          <w:rFonts w:hint="eastAsia" w:ascii="Times New Roman" w:hAnsi="Times New Roman" w:cs="Times New Roman"/>
          <w:sz w:val="20"/>
          <w:szCs w:val="20"/>
          <w:lang w:val="en-US" w:eastAsia="zh-CN"/>
        </w:rPr>
        <w:t xml:space="preserve"> with 2Rx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87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0" w:type="auto"/>
            <w:tcBorders>
              <w:bottom w:val="single" w:color="auto" w:sz="4" w:space="0"/>
            </w:tcBorders>
            <w:shd w:val="clear" w:color="auto" w:fill="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Operating Band</w:t>
            </w:r>
          </w:p>
        </w:tc>
        <w:tc>
          <w:tcPr>
            <w:tcW w:w="0" w:type="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SCS kHz</w:t>
            </w:r>
          </w:p>
        </w:tc>
        <w:tc>
          <w:tcPr>
            <w:tcW w:w="0" w:type="auto"/>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val="en-US" w:eastAsia="zh-CN"/>
              </w:rPr>
              <w:t>3</w:t>
            </w:r>
            <w:r>
              <w:rPr>
                <w:rFonts w:hint="eastAsia" w:eastAsia="宋体"/>
                <w:lang w:val="en-US" w:eastAsia="zh-CN"/>
              </w:rPr>
              <w:t xml:space="preserve"> </w:t>
            </w:r>
            <w:r>
              <w:rPr>
                <w:rFonts w:eastAsia="PMingLiU"/>
              </w:rPr>
              <w:t>MHz</w:t>
            </w:r>
            <w:r>
              <w:rPr>
                <w:rFonts w:hint="eastAsia" w:eastAsia="宋体"/>
                <w:lang w:val="en-US" w:eastAsia="zh-CN"/>
              </w:rPr>
              <w:t xml:space="preserve"> </w:t>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n26</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n28</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val="en-US" w:eastAsia="en-GB"/>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eastAsia="PMingLiU"/>
                <w:lang w:eastAsia="zh-TW"/>
              </w:rPr>
              <w:t>-</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eastAsia="zh-CN"/>
              </w:rPr>
              <w:t>n</w:t>
            </w:r>
            <w:r>
              <w:rPr>
                <w:lang w:eastAsia="zh-CN"/>
              </w:rPr>
              <w:t>85</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eastAsia="PMingLiU"/>
                <w:lang w:eastAsia="zh-TW"/>
              </w:rPr>
              <w:t>-</w:t>
            </w:r>
            <w:r>
              <w:rPr>
                <w:rFonts w:hint="eastAsia" w:eastAsia="宋体"/>
                <w:lang w:val="en-US" w:eastAsia="zh-CN"/>
              </w:rPr>
              <w:t>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n100</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n106</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-101.9</w:t>
            </w:r>
          </w:p>
        </w:tc>
      </w:tr>
    </w:tbl>
    <w:p>
      <w:pPr>
        <w:bidi w:val="0"/>
        <w:rPr>
          <w:rFonts w:hint="default"/>
          <w:sz w:val="20"/>
          <w:szCs w:val="20"/>
          <w:lang w:val="en-US" w:eastAsia="zh-CN"/>
        </w:rPr>
      </w:pPr>
      <w:r>
        <w:rPr>
          <w:rFonts w:hint="eastAsia"/>
          <w:b/>
          <w:bCs/>
          <w:sz w:val="20"/>
          <w:szCs w:val="20"/>
          <w:lang w:val="en-US" w:eastAsia="zh-CN"/>
        </w:rPr>
        <w:t>Proposal 2: We give two principles to derive REFSENS for 3MHz for HD-FDD (e)RedCap UE with 2Rx:</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default"/>
          <w:b/>
          <w:bCs/>
          <w:sz w:val="20"/>
          <w:szCs w:val="20"/>
          <w:lang w:val="en-US" w:eastAsia="zh-CN"/>
        </w:rPr>
      </w:pPr>
      <w:r>
        <w:rPr>
          <w:rFonts w:hint="eastAsia"/>
          <w:b/>
          <w:bCs/>
          <w:sz w:val="20"/>
          <w:szCs w:val="20"/>
          <w:lang w:val="en-US" w:eastAsia="zh-CN"/>
        </w:rPr>
        <w:t>Principle 1: to use similar tightening principle for 5MHz for HD-FDD (e)RedCap UE with 2Rx, REFSENS can be defined as in Table 2.2-3 for HD-FDD with 2Rx for 3MHz channel bandwidth.</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default"/>
          <w:b/>
          <w:bCs/>
          <w:sz w:val="20"/>
          <w:szCs w:val="20"/>
          <w:lang w:val="en-US" w:eastAsia="zh-CN"/>
        </w:rPr>
      </w:pPr>
      <w:r>
        <w:rPr>
          <w:rFonts w:hint="eastAsia"/>
          <w:b/>
          <w:bCs/>
          <w:sz w:val="20"/>
          <w:szCs w:val="20"/>
          <w:lang w:val="en-US" w:eastAsia="zh-CN"/>
        </w:rPr>
        <w:t>Principle 2: to scale from 5MHz REFSENS for HD-FDD (e)RedCap UE with 2Rx, REFSENS can be defined as in Table 2.2-5 for HD-FDD with 2Rx for 3MHz channel bandwidth.</w:t>
      </w:r>
    </w:p>
    <w:p>
      <w:pPr>
        <w:bidi w:val="0"/>
        <w:rPr>
          <w:rFonts w:hint="default"/>
          <w:sz w:val="20"/>
          <w:szCs w:val="20"/>
          <w:lang w:val="en-US" w:eastAsia="zh-CN"/>
        </w:rPr>
      </w:pPr>
    </w:p>
    <w:p>
      <w:pPr>
        <w:bidi w:val="0"/>
        <w:rPr>
          <w:rFonts w:hint="eastAsia"/>
          <w:sz w:val="20"/>
          <w:szCs w:val="20"/>
          <w:lang w:val="en-US" w:eastAsia="zh-CN"/>
        </w:rPr>
      </w:pPr>
      <w:r>
        <w:rPr>
          <w:rFonts w:hint="eastAsia"/>
          <w:b/>
          <w:bCs/>
          <w:sz w:val="20"/>
          <w:szCs w:val="20"/>
          <w:lang w:val="en-US" w:eastAsia="zh-CN"/>
        </w:rPr>
        <w:t>REFSENS for HD-FDD with 1Rx</w:t>
      </w:r>
    </w:p>
    <w:p>
      <w:pPr>
        <w:rPr>
          <w:rFonts w:hint="default"/>
          <w:sz w:val="20"/>
          <w:szCs w:val="20"/>
          <w:lang w:val="en-US" w:eastAsia="zh-CN"/>
        </w:rPr>
      </w:pPr>
      <w:r>
        <w:rPr>
          <w:rFonts w:hint="eastAsia"/>
          <w:sz w:val="20"/>
          <w:szCs w:val="20"/>
          <w:lang w:val="en-US" w:eastAsia="zh-CN"/>
        </w:rPr>
        <w:t>Regarding REFSENS for FDD with 1Rx, the following allowance was used compared with REFSENS for 2Rx. The 2.5 dB allowance for 5MHz comes from two parts: one is single Rx will need 3 dB more SNR than a 2Rx diversity receiver and the other is compromise of 0.5 dB tightening of the implementation margin for single Rx. For 3MHz REFSENS for HD-FDD with 1Rx, we propose to use 2.5dB allowance as a starting point.</w:t>
      </w:r>
    </w:p>
    <w:tbl>
      <w:tblPr>
        <w:tblStyle w:val="23"/>
        <w:tblW w:w="4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1781"/>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273" w:type="dxa"/>
            <w:tcBorders>
              <w:top w:val="single" w:color="auto" w:sz="4" w:space="0"/>
              <w:left w:val="single" w:color="auto" w:sz="4" w:space="0"/>
              <w:bottom w:val="single" w:color="auto" w:sz="4" w:space="0"/>
              <w:right w:val="single" w:color="auto" w:sz="4" w:space="0"/>
            </w:tcBorders>
          </w:tcPr>
          <w:p>
            <w:pPr>
              <w:pStyle w:val="65"/>
              <w:jc w:val="both"/>
              <w:rPr>
                <w:b w:val="0"/>
                <w:bCs/>
                <w:lang w:val="fr-FR"/>
              </w:rPr>
            </w:pPr>
            <w:r>
              <w:rPr>
                <w:b w:val="0"/>
                <w:bCs/>
                <w:lang w:val="fr-FR"/>
              </w:rPr>
              <w:t>Operating band</w:t>
            </w:r>
          </w:p>
        </w:tc>
        <w:tc>
          <w:tcPr>
            <w:tcW w:w="1781" w:type="dxa"/>
            <w:tcBorders>
              <w:top w:val="single" w:color="auto" w:sz="4" w:space="0"/>
              <w:left w:val="single" w:color="auto" w:sz="4" w:space="0"/>
              <w:bottom w:val="single" w:color="auto" w:sz="4" w:space="0"/>
              <w:right w:val="single" w:color="auto" w:sz="4" w:space="0"/>
            </w:tcBorders>
          </w:tcPr>
          <w:p>
            <w:pPr>
              <w:pStyle w:val="65"/>
              <w:jc w:val="both"/>
              <w:rPr>
                <w:b w:val="0"/>
                <w:bCs/>
                <w:lang w:val="en-US" w:eastAsia="zh-CN"/>
              </w:rPr>
            </w:pPr>
            <w:r>
              <w:rPr>
                <w:b w:val="0"/>
                <w:bCs/>
                <w:lang w:val="fr-FR"/>
              </w:rPr>
              <w:t>Channel bandwidth</w:t>
            </w:r>
            <w:r>
              <w:rPr>
                <w:rFonts w:hint="eastAsia"/>
                <w:b w:val="0"/>
                <w:bCs/>
                <w:lang w:val="en-US" w:eastAsia="zh-CN"/>
              </w:rPr>
              <w:t xml:space="preserve"> (MHz)</w:t>
            </w:r>
          </w:p>
        </w:tc>
        <w:tc>
          <w:tcPr>
            <w:tcW w:w="1204" w:type="dxa"/>
            <w:tcBorders>
              <w:top w:val="single" w:color="auto" w:sz="4" w:space="0"/>
              <w:left w:val="single" w:color="auto" w:sz="4" w:space="0"/>
              <w:bottom w:val="single" w:color="auto" w:sz="4" w:space="0"/>
              <w:right w:val="single" w:color="auto" w:sz="4" w:space="0"/>
            </w:tcBorders>
          </w:tcPr>
          <w:p>
            <w:pPr>
              <w:pStyle w:val="65"/>
              <w:jc w:val="both"/>
              <w:rPr>
                <w:b w:val="0"/>
                <w:bCs/>
                <w:lang w:val="fr-FR"/>
              </w:rPr>
            </w:pPr>
            <w:r>
              <w:rPr>
                <w:b w:val="0"/>
                <w:bCs/>
                <w:lang w:val="fr-FR"/>
              </w:rPr>
              <w:t>ΔR</w:t>
            </w:r>
            <w:r>
              <w:rPr>
                <w:b w:val="0"/>
                <w:bCs/>
                <w:vertAlign w:val="subscript"/>
                <w:lang w:val="fr-FR"/>
              </w:rPr>
              <w:t xml:space="preserve">1R </w:t>
            </w:r>
            <w:r>
              <w:rPr>
                <w:b w:val="0"/>
                <w:bCs/>
                <w:lang w:val="fr-FR"/>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73" w:type="dxa"/>
            <w:tcBorders>
              <w:top w:val="single" w:color="auto" w:sz="4" w:space="0"/>
              <w:left w:val="single" w:color="auto" w:sz="4" w:space="0"/>
              <w:bottom w:val="single" w:color="auto" w:sz="4" w:space="0"/>
              <w:right w:val="single" w:color="auto" w:sz="4" w:space="0"/>
            </w:tcBorders>
            <w:vAlign w:val="center"/>
          </w:tcPr>
          <w:p>
            <w:pPr>
              <w:pStyle w:val="57"/>
              <w:jc w:val="both"/>
              <w:rPr>
                <w:bCs/>
                <w:lang w:val="fr-FR"/>
              </w:rPr>
            </w:pPr>
            <w:r>
              <w:rPr>
                <w:bCs/>
                <w:lang w:val="fr-FR"/>
              </w:rPr>
              <w:t xml:space="preserve">FDD band </w:t>
            </w:r>
          </w:p>
        </w:tc>
        <w:tc>
          <w:tcPr>
            <w:tcW w:w="1781" w:type="dxa"/>
            <w:tcBorders>
              <w:top w:val="single" w:color="auto" w:sz="4" w:space="0"/>
              <w:left w:val="single" w:color="auto" w:sz="4" w:space="0"/>
              <w:bottom w:val="single" w:color="auto" w:sz="4" w:space="0"/>
              <w:right w:val="single" w:color="auto" w:sz="4" w:space="0"/>
            </w:tcBorders>
          </w:tcPr>
          <w:p>
            <w:pPr>
              <w:pStyle w:val="57"/>
              <w:jc w:val="both"/>
              <w:rPr>
                <w:bCs/>
                <w:lang w:val="fr-FR"/>
              </w:rPr>
            </w:pPr>
            <w:r>
              <w:rPr>
                <w:bCs/>
                <w:lang w:val="fr-FR"/>
              </w:rPr>
              <w:t xml:space="preserve">5 </w:t>
            </w:r>
          </w:p>
        </w:tc>
        <w:tc>
          <w:tcPr>
            <w:tcW w:w="1204" w:type="dxa"/>
            <w:tcBorders>
              <w:top w:val="single" w:color="auto" w:sz="4" w:space="0"/>
              <w:left w:val="single" w:color="auto" w:sz="4" w:space="0"/>
              <w:bottom w:val="single" w:color="auto" w:sz="4" w:space="0"/>
              <w:right w:val="single" w:color="auto" w:sz="4" w:space="0"/>
            </w:tcBorders>
            <w:vAlign w:val="center"/>
          </w:tcPr>
          <w:p>
            <w:pPr>
              <w:pStyle w:val="57"/>
              <w:jc w:val="both"/>
              <w:rPr>
                <w:bCs/>
                <w:lang w:val="fr-FR"/>
              </w:rPr>
            </w:pPr>
            <w:r>
              <w:rPr>
                <w:bCs/>
                <w:lang w:val="fr-F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273" w:type="dxa"/>
            <w:tcBorders>
              <w:top w:val="single" w:color="auto" w:sz="4" w:space="0"/>
              <w:left w:val="single" w:color="auto" w:sz="4" w:space="0"/>
              <w:bottom w:val="single" w:color="auto" w:sz="4" w:space="0"/>
              <w:right w:val="single" w:color="auto" w:sz="4" w:space="0"/>
            </w:tcBorders>
            <w:vAlign w:val="center"/>
          </w:tcPr>
          <w:p>
            <w:pPr>
              <w:pStyle w:val="57"/>
              <w:jc w:val="both"/>
              <w:rPr>
                <w:bCs/>
                <w:lang w:val="fr-FR"/>
              </w:rPr>
            </w:pPr>
            <w:r>
              <w:rPr>
                <w:bCs/>
                <w:lang w:val="fr-FR"/>
              </w:rPr>
              <w:t xml:space="preserve">FDD band </w:t>
            </w:r>
          </w:p>
        </w:tc>
        <w:tc>
          <w:tcPr>
            <w:tcW w:w="1781" w:type="dxa"/>
            <w:tcBorders>
              <w:top w:val="single" w:color="auto" w:sz="4" w:space="0"/>
              <w:left w:val="single" w:color="auto" w:sz="4" w:space="0"/>
              <w:bottom w:val="single" w:color="auto" w:sz="4" w:space="0"/>
              <w:right w:val="single" w:color="auto" w:sz="4" w:space="0"/>
            </w:tcBorders>
          </w:tcPr>
          <w:p>
            <w:pPr>
              <w:pStyle w:val="57"/>
              <w:jc w:val="both"/>
              <w:rPr>
                <w:bCs/>
                <w:lang w:val="fr-FR"/>
              </w:rPr>
            </w:pPr>
            <w:r>
              <w:rPr>
                <w:bCs/>
                <w:lang w:val="fr-FR"/>
              </w:rPr>
              <w:t>10, 15</w:t>
            </w:r>
            <w:r>
              <w:rPr>
                <w:rFonts w:hint="eastAsia"/>
                <w:bCs/>
                <w:lang w:val="en-US" w:eastAsia="zh-CN"/>
              </w:rPr>
              <w:t>,</w:t>
            </w:r>
            <w:r>
              <w:rPr>
                <w:bCs/>
                <w:lang w:val="fr-FR"/>
              </w:rPr>
              <w:t xml:space="preserve"> 20</w:t>
            </w:r>
          </w:p>
        </w:tc>
        <w:tc>
          <w:tcPr>
            <w:tcW w:w="1204" w:type="dxa"/>
            <w:tcBorders>
              <w:top w:val="single" w:color="auto" w:sz="4" w:space="0"/>
              <w:left w:val="single" w:color="auto" w:sz="4" w:space="0"/>
              <w:bottom w:val="single" w:color="auto" w:sz="4" w:space="0"/>
              <w:right w:val="single" w:color="auto" w:sz="4" w:space="0"/>
            </w:tcBorders>
            <w:vAlign w:val="center"/>
          </w:tcPr>
          <w:p>
            <w:pPr>
              <w:pStyle w:val="57"/>
              <w:jc w:val="both"/>
              <w:rPr>
                <w:bCs/>
                <w:lang w:val="fr-FR"/>
              </w:rPr>
            </w:pPr>
            <w:r>
              <w:rPr>
                <w:bCs/>
                <w:lang w:val="fr-FR"/>
              </w:rPr>
              <w:t>3.0</w:t>
            </w:r>
          </w:p>
        </w:tc>
      </w:tr>
    </w:tbl>
    <w:p>
      <w:pPr>
        <w:rPr>
          <w:rFonts w:hint="default"/>
          <w:sz w:val="20"/>
          <w:szCs w:val="20"/>
          <w:lang w:val="en-US" w:eastAsia="zh-CN"/>
        </w:rPr>
      </w:pPr>
      <w:r>
        <w:rPr>
          <w:rFonts w:hint="eastAsia"/>
          <w:b/>
          <w:bCs/>
          <w:sz w:val="20"/>
          <w:szCs w:val="20"/>
          <w:lang w:val="en-US" w:eastAsia="zh-CN"/>
        </w:rPr>
        <w:t>Proposal 3: For 3MHz REFSENS for HD-FDD with 1Rx, we propose to use 2.5dB allowance as a starting point.</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4"/>
          <w:szCs w:val="24"/>
          <w:lang w:val="en-US" w:eastAsia="zh-CN"/>
        </w:rPr>
      </w:pPr>
      <w:r>
        <w:rPr>
          <w:rFonts w:hint="eastAsia"/>
          <w:b/>
          <w:kern w:val="0"/>
          <w:sz w:val="24"/>
          <w:szCs w:val="24"/>
          <w:highlight w:val="none"/>
          <w:lang w:val="en-US" w:eastAsia="zh-CN"/>
        </w:rPr>
        <w:t xml:space="preserve">2.3 </w:t>
      </w:r>
      <w:r>
        <w:rPr>
          <w:rFonts w:hint="eastAsia"/>
          <w:sz w:val="24"/>
          <w:szCs w:val="24"/>
          <w:lang w:val="en-US" w:eastAsia="zh-CN"/>
        </w:rPr>
        <w:t>UE capabilities</w:t>
      </w:r>
    </w:p>
    <w:p>
      <w:pPr>
        <w:rPr>
          <w:rFonts w:hint="default"/>
          <w:sz w:val="20"/>
          <w:szCs w:val="18"/>
          <w:lang w:val="en-US" w:eastAsia="zh-CN"/>
        </w:rPr>
      </w:pPr>
      <w:r>
        <w:rPr>
          <w:rFonts w:hint="eastAsia"/>
          <w:sz w:val="20"/>
          <w:szCs w:val="18"/>
          <w:lang w:val="en-US" w:eastAsia="zh-CN"/>
        </w:rPr>
        <w:t xml:space="preserve">During Rel-18 less than 5MHz discussion, some capabilities were introduced, and all specified that </w:t>
      </w:r>
      <w:r>
        <w:rPr>
          <w:rFonts w:hint="default"/>
          <w:sz w:val="20"/>
          <w:szCs w:val="18"/>
          <w:lang w:val="en-US" w:eastAsia="zh-CN"/>
        </w:rPr>
        <w:t>“</w:t>
      </w:r>
      <w:r>
        <w:rPr>
          <w:rFonts w:hint="eastAsia"/>
          <w:sz w:val="20"/>
          <w:szCs w:val="18"/>
          <w:lang w:val="en-US" w:eastAsia="zh-CN"/>
        </w:rPr>
        <w:t>This feature is not applicable to UEs indicating supportOfRedCap-r17 or supportOfERedCap-r18</w:t>
      </w:r>
      <w:r>
        <w:rPr>
          <w:rFonts w:hint="default"/>
          <w:sz w:val="20"/>
          <w:szCs w:val="18"/>
          <w:lang w:val="en-US" w:eastAsia="zh-CN"/>
        </w:rPr>
        <w:t>”</w:t>
      </w:r>
      <w:r>
        <w:rPr>
          <w:rFonts w:hint="eastAsia"/>
          <w:sz w:val="20"/>
          <w:szCs w:val="18"/>
          <w:lang w:val="en-US" w:eastAsia="zh-CN"/>
        </w:rPr>
        <w:t xml:space="preserve"> . Additionally, in the WID, it states that “Support of less than 5 MHz channel bandwidth (15 PRB transmission bandwidth configuration and 12 PRB SSB)”. Hence, only 15PRB transmission bandwidth configuration related capabilities will be supported in (e)RedCap, which is shown in the following:</w:t>
      </w:r>
    </w:p>
    <w:tbl>
      <w:tblPr>
        <w:tblStyle w:val="23"/>
        <w:tblW w:w="5000" w:type="pct"/>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7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5000" w:type="pct"/>
          </w:tcPr>
          <w:p>
            <w:pPr>
              <w:pStyle w:val="58"/>
              <w:rPr>
                <w:b/>
                <w:bCs/>
                <w:i/>
                <w:iCs/>
              </w:rPr>
            </w:pPr>
            <w:r>
              <w:rPr>
                <w:b/>
                <w:bCs/>
                <w:i/>
                <w:iCs/>
              </w:rPr>
              <w:t>support3MHz-ChannelBW-Asymmetric-r18</w:t>
            </w:r>
          </w:p>
          <w:p>
            <w:pPr>
              <w:pStyle w:val="58"/>
            </w:pPr>
            <w:r>
              <w:t>Indicates whether the UE supports 3 MHz channel bandwidth in uplink with larger than 3 MHz channel BW in DL, including s</w:t>
            </w:r>
            <w:r>
              <w:rPr>
                <w:rFonts w:eastAsia="宋体" w:cs="Arial"/>
                <w:szCs w:val="18"/>
                <w:lang w:eastAsia="zh-CN"/>
              </w:rPr>
              <w:t>hort RACH preamble formats with 15kHz SCS, and long PRACH formats with 1.25kHz SCS.</w:t>
            </w:r>
          </w:p>
          <w:p>
            <w:pPr>
              <w:pStyle w:val="58"/>
              <w:rPr>
                <w:szCs w:val="18"/>
              </w:rPr>
            </w:pPr>
            <w:r>
              <w:rPr>
                <w:szCs w:val="18"/>
              </w:rPr>
              <w:t xml:space="preserve">This feature is supported for 15kHz SCS only (except for the PRACH formats </w:t>
            </w:r>
            <w:r>
              <w:rPr>
                <w:rFonts w:eastAsia="宋体" w:cs="Arial"/>
                <w:szCs w:val="18"/>
                <w:lang w:eastAsia="zh-CN"/>
              </w:rPr>
              <w:t>with 1.25kHz SCS</w:t>
            </w:r>
            <w:r>
              <w:rPr>
                <w:szCs w:val="18"/>
              </w:rPr>
              <w:t xml:space="preserve">). It </w:t>
            </w:r>
            <w:r>
              <w:t xml:space="preserve">applies to bands where the UE indicates support for </w:t>
            </w:r>
            <w:r>
              <w:rPr>
                <w:i/>
                <w:iCs/>
              </w:rPr>
              <w:t>asymmetricBandwidthCombinationSet</w:t>
            </w:r>
            <w:r>
              <w:t xml:space="preserve"> with 3 MHz UL according to clause 5.3.6 of TS 38.101-1 </w:t>
            </w:r>
            <w:r>
              <w:rPr>
                <w:szCs w:val="18"/>
              </w:rPr>
              <w:t>[2].</w:t>
            </w:r>
          </w:p>
          <w:p>
            <w:pPr>
              <w:pStyle w:val="58"/>
              <w:rPr>
                <w:szCs w:val="18"/>
                <w:highlight w:val="yellow"/>
              </w:rPr>
            </w:pPr>
            <w:r>
              <w:rPr>
                <w:szCs w:val="18"/>
                <w:highlight w:val="yellow"/>
              </w:rPr>
              <w:t xml:space="preserve">This feature is not applicable to UEs indicating </w:t>
            </w:r>
            <w:r>
              <w:rPr>
                <w:i/>
                <w:iCs/>
                <w:szCs w:val="18"/>
                <w:highlight w:val="yellow"/>
              </w:rPr>
              <w:t>supportOfRedCap-r17</w:t>
            </w:r>
            <w:r>
              <w:rPr>
                <w:szCs w:val="18"/>
                <w:highlight w:val="yellow"/>
              </w:rPr>
              <w:t xml:space="preserve"> or </w:t>
            </w:r>
            <w:r>
              <w:rPr>
                <w:i/>
                <w:iCs/>
                <w:szCs w:val="18"/>
                <w:highlight w:val="yellow"/>
              </w:rPr>
              <w:t>supportOfERedCap-r18</w:t>
            </w:r>
            <w:r>
              <w:rPr>
                <w:szCs w:val="18"/>
                <w:highlight w:val="yellow"/>
              </w:rPr>
              <w:t>.</w:t>
            </w:r>
          </w:p>
          <w:p>
            <w:pPr>
              <w:pStyle w:val="70"/>
            </w:pPr>
          </w:p>
          <w:p>
            <w:pPr>
              <w:pStyle w:val="70"/>
            </w:pPr>
            <w:r>
              <w:t>NOTE 1:</w:t>
            </w:r>
            <w:r>
              <w:rPr>
                <w:rFonts w:cs="Arial"/>
                <w:szCs w:val="18"/>
              </w:rPr>
              <w:tab/>
            </w:r>
            <w:r>
              <w:t>The UE supporting this feature supports configuration of 15 PRB UL BWP operation.</w:t>
            </w:r>
          </w:p>
          <w:p>
            <w:pPr>
              <w:pStyle w:val="70"/>
              <w:rPr>
                <w:b/>
                <w:bCs/>
                <w:i/>
                <w:iCs/>
              </w:rPr>
            </w:pPr>
            <w:r>
              <w:t>NOTE 2:</w:t>
            </w:r>
            <w:r>
              <w:rPr>
                <w:rFonts w:cs="Arial"/>
                <w:szCs w:val="18"/>
              </w:rPr>
              <w:tab/>
            </w:r>
            <w:r>
              <w:t xml:space="preserve">If the UE indicates support in </w:t>
            </w:r>
            <w:r>
              <w:rPr>
                <w:i/>
                <w:iCs/>
              </w:rPr>
              <w:t>asymmetricBandwidthCombinationSet</w:t>
            </w:r>
            <w:r>
              <w:t xml:space="preserve"> for a 3MHz UL in a band according to clause 5.3.6 of 38.101-1 [2], this feature shall be indicated for the band.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5000" w:type="pct"/>
          </w:tcPr>
          <w:p>
            <w:pPr>
              <w:pStyle w:val="58"/>
              <w:rPr>
                <w:b/>
                <w:bCs/>
                <w:i/>
                <w:iCs/>
              </w:rPr>
            </w:pPr>
            <w:r>
              <w:rPr>
                <w:b/>
                <w:bCs/>
                <w:i/>
                <w:iCs/>
              </w:rPr>
              <w:t>support3MHz-ChannelBW-Symmetric-r18</w:t>
            </w:r>
          </w:p>
          <w:p>
            <w:pPr>
              <w:pStyle w:val="58"/>
            </w:pPr>
            <w:r>
              <w:t>Indicates whether the UE supports 3 MHz symmetric channel bandwidth in DL and UL, including the following functional components:</w:t>
            </w:r>
          </w:p>
          <w:p>
            <w:pPr>
              <w:pStyle w:val="47"/>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sz w:val="18"/>
                <w:szCs w:val="18"/>
              </w:rPr>
              <w:t>Reception of 12 PRB PBCH based on RB-level puncturing;</w:t>
            </w:r>
          </w:p>
          <w:p>
            <w:pPr>
              <w:pStyle w:val="47"/>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sz w:val="18"/>
                <w:szCs w:val="18"/>
              </w:rPr>
              <w:t>Short RACH preamble formats with 15kHz SCS, and long PRACH formats with 1.25kHz SCS;</w:t>
            </w:r>
          </w:p>
          <w:p>
            <w:pPr>
              <w:pStyle w:val="47"/>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sz w:val="18"/>
                <w:szCs w:val="18"/>
              </w:rPr>
              <w:t>Reception of 15 PRB CORESET0.</w:t>
            </w:r>
          </w:p>
          <w:p>
            <w:pPr>
              <w:pStyle w:val="58"/>
              <w:rPr>
                <w:szCs w:val="18"/>
              </w:rPr>
            </w:pPr>
            <w:r>
              <w:rPr>
                <w:szCs w:val="18"/>
              </w:rPr>
              <w:t xml:space="preserve">This feature is supported for 15kHz SCS only (except for the PRACH formats </w:t>
            </w:r>
            <w:r>
              <w:rPr>
                <w:rFonts w:eastAsia="宋体" w:cs="Arial"/>
                <w:szCs w:val="18"/>
                <w:lang w:eastAsia="zh-CN"/>
              </w:rPr>
              <w:t>with 1.25kHz SCS</w:t>
            </w:r>
            <w:r>
              <w:rPr>
                <w:szCs w:val="18"/>
              </w:rPr>
              <w:t>). It is applicable when an associated SS/PBCH block is located according to Table 5.4.3.3-2 in TS 38.101-1 [2].</w:t>
            </w:r>
          </w:p>
          <w:p>
            <w:pPr>
              <w:pStyle w:val="58"/>
              <w:rPr>
                <w:szCs w:val="18"/>
              </w:rPr>
            </w:pPr>
          </w:p>
          <w:p>
            <w:pPr>
              <w:pStyle w:val="58"/>
              <w:rPr>
                <w:szCs w:val="18"/>
                <w:highlight w:val="yellow"/>
              </w:rPr>
            </w:pPr>
            <w:r>
              <w:rPr>
                <w:szCs w:val="18"/>
                <w:highlight w:val="yellow"/>
              </w:rPr>
              <w:t xml:space="preserve">This feature is not applicable to UEs indicating </w:t>
            </w:r>
            <w:r>
              <w:rPr>
                <w:i/>
                <w:iCs/>
                <w:szCs w:val="18"/>
                <w:highlight w:val="yellow"/>
              </w:rPr>
              <w:t>supportOfRedCap-r17</w:t>
            </w:r>
            <w:r>
              <w:rPr>
                <w:szCs w:val="18"/>
                <w:highlight w:val="yellow"/>
              </w:rPr>
              <w:t xml:space="preserve"> or </w:t>
            </w:r>
            <w:r>
              <w:rPr>
                <w:i/>
                <w:iCs/>
                <w:szCs w:val="18"/>
                <w:highlight w:val="yellow"/>
              </w:rPr>
              <w:t>supportOfERedCap-r18</w:t>
            </w:r>
            <w:r>
              <w:rPr>
                <w:szCs w:val="18"/>
                <w:highlight w:val="yellow"/>
              </w:rPr>
              <w:t>.</w:t>
            </w:r>
          </w:p>
          <w:p>
            <w:pPr>
              <w:pStyle w:val="58"/>
              <w:rPr>
                <w:szCs w:val="18"/>
              </w:rPr>
            </w:pPr>
          </w:p>
          <w:p>
            <w:pPr>
              <w:pStyle w:val="70"/>
              <w:rPr>
                <w:b/>
                <w:bCs/>
                <w:i/>
                <w:iCs/>
              </w:rPr>
            </w:pPr>
            <w:r>
              <w:t>NOTE:</w:t>
            </w:r>
            <w:r>
              <w:rPr>
                <w:rFonts w:cs="Arial"/>
                <w:szCs w:val="18"/>
              </w:rPr>
              <w:tab/>
            </w:r>
            <w:r>
              <w:t>The UE supporting this capability supports configuration of 15 PRB BWP operation in DL and UL.</w:t>
            </w:r>
          </w:p>
        </w:tc>
      </w:tr>
    </w:tbl>
    <w:p>
      <w:pPr>
        <w:rPr>
          <w:rFonts w:hint="default"/>
          <w:sz w:val="20"/>
          <w:szCs w:val="20"/>
          <w:lang w:val="en-US" w:eastAsia="zh-CN"/>
        </w:rPr>
      </w:pPr>
      <w:r>
        <w:rPr>
          <w:rFonts w:hint="eastAsia"/>
          <w:sz w:val="20"/>
          <w:szCs w:val="20"/>
          <w:lang w:val="en-US" w:eastAsia="zh-CN"/>
        </w:rPr>
        <w:t>To support less than 5MHz channel bandwidth for (e)RedCap UEs, the following capabilities need to be updated:</w:t>
      </w:r>
    </w:p>
    <w:p>
      <w:pPr>
        <w:pStyle w:val="58"/>
        <w:keepNext/>
        <w:keepLines/>
        <w:pageBreakBefore w:val="0"/>
        <w:widowControl/>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support3MHz-ChannelBW-Asymmetric-r18</w:t>
      </w:r>
    </w:p>
    <w:p>
      <w:pPr>
        <w:pStyle w:val="58"/>
        <w:keepNext/>
        <w:keepLines/>
        <w:pageBreakBefore w:val="0"/>
        <w:widowControl/>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support3MHz-ChannelBW-Symmetric-r18</w:t>
      </w:r>
    </w:p>
    <w:p>
      <w:pPr>
        <w:rPr>
          <w:rFonts w:hint="eastAsia"/>
          <w:b/>
          <w:bCs/>
          <w:i w:val="0"/>
          <w:iCs w:val="0"/>
          <w:sz w:val="20"/>
          <w:szCs w:val="20"/>
          <w:lang w:val="en-US" w:eastAsia="zh-CN"/>
        </w:rPr>
      </w:pPr>
      <w:r>
        <w:rPr>
          <w:rFonts w:hint="eastAsia"/>
          <w:b/>
          <w:bCs/>
          <w:i w:val="0"/>
          <w:iCs w:val="0"/>
          <w:sz w:val="20"/>
          <w:szCs w:val="20"/>
          <w:lang w:val="en-US" w:eastAsia="zh-CN"/>
        </w:rPr>
        <w:t>Proposal 4: To support less than 5MHz channel bandwidth for (e)RedCap UEs, the following capabilities need to be updated:</w:t>
      </w:r>
    </w:p>
    <w:p>
      <w:pPr>
        <w:pStyle w:val="58"/>
        <w:keepNext/>
        <w:keepLines/>
        <w:pageBreakBefore w:val="0"/>
        <w:widowControl/>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support3MHz-ChannelBW-Asymmetric-r18</w:t>
      </w:r>
    </w:p>
    <w:p>
      <w:pPr>
        <w:pStyle w:val="58"/>
        <w:keepNext/>
        <w:keepLines/>
        <w:pageBreakBefore w:val="0"/>
        <w:widowControl/>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support3MHz-ChannelBW-Symmetric-r18</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eastAsia"/>
          <w:b/>
          <w:bCs/>
          <w:sz w:val="20"/>
          <w:szCs w:val="18"/>
          <w:lang w:val="en-US" w:eastAsia="zh-CN"/>
        </w:rPr>
      </w:pPr>
      <w:r>
        <w:rPr>
          <w:rFonts w:hint="eastAsia"/>
          <w:b/>
          <w:bCs/>
          <w:sz w:val="20"/>
          <w:szCs w:val="18"/>
          <w:lang w:val="en-US" w:eastAsia="zh-CN"/>
        </w:rPr>
        <w:t xml:space="preserve">Proposal 1: Delete </w:t>
      </w:r>
      <w:r>
        <w:rPr>
          <w:rFonts w:hint="default"/>
          <w:b/>
          <w:bCs/>
          <w:sz w:val="20"/>
          <w:szCs w:val="18"/>
          <w:lang w:val="en-US" w:eastAsia="zh-CN"/>
        </w:rPr>
        <w:t>“</w:t>
      </w:r>
      <w:r>
        <w:rPr>
          <w:rFonts w:hint="eastAsia"/>
          <w:b/>
          <w:bCs/>
          <w:sz w:val="20"/>
          <w:szCs w:val="18"/>
          <w:lang w:val="en-US" w:eastAsia="zh-CN"/>
        </w:rPr>
        <w:t>3MHz CBW is not applicable for (e)RedCap UE in the current release</w:t>
      </w:r>
      <w:r>
        <w:rPr>
          <w:rFonts w:hint="default"/>
          <w:b/>
          <w:bCs/>
          <w:sz w:val="20"/>
          <w:szCs w:val="18"/>
          <w:lang w:val="en-US" w:eastAsia="zh-CN"/>
        </w:rPr>
        <w:t>”</w:t>
      </w:r>
      <w:r>
        <w:rPr>
          <w:rFonts w:hint="eastAsia"/>
          <w:b/>
          <w:bCs/>
          <w:sz w:val="20"/>
          <w:szCs w:val="18"/>
          <w:lang w:val="en-US" w:eastAsia="zh-CN"/>
        </w:rPr>
        <w:t xml:space="preserve"> in Rel-20 spec.</w:t>
      </w:r>
    </w:p>
    <w:p>
      <w:pPr>
        <w:bidi w:val="0"/>
        <w:rPr>
          <w:rFonts w:hint="default"/>
          <w:sz w:val="20"/>
          <w:szCs w:val="20"/>
          <w:lang w:val="en-US" w:eastAsia="zh-CN"/>
        </w:rPr>
      </w:pPr>
      <w:r>
        <w:rPr>
          <w:rFonts w:hint="eastAsia"/>
          <w:b/>
          <w:bCs/>
          <w:sz w:val="20"/>
          <w:szCs w:val="20"/>
          <w:lang w:val="en-US" w:eastAsia="zh-CN"/>
        </w:rPr>
        <w:t>Proposal 2: We give two principles to derive REFSENS for 3MHz for HD-FDD (e)RedCap UE with 2Rx:</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eastAsia"/>
          <w:b/>
          <w:bCs/>
          <w:sz w:val="20"/>
          <w:szCs w:val="20"/>
          <w:lang w:val="en-US" w:eastAsia="zh-CN"/>
        </w:rPr>
      </w:pPr>
      <w:r>
        <w:rPr>
          <w:rFonts w:hint="eastAsia"/>
          <w:b/>
          <w:bCs/>
          <w:sz w:val="20"/>
          <w:szCs w:val="20"/>
          <w:lang w:val="en-US" w:eastAsia="zh-CN"/>
        </w:rPr>
        <w:t>Principle 1: to use similar tightening principle for 5MHz for HD-FDD (e)RedCap UE with 2Rx, REFSENS can be defined as in Table 2.2-3 for HD-FDD with 2Rx for 3MHz channel bandwidth.</w:t>
      </w:r>
    </w:p>
    <w:p>
      <w:pPr>
        <w:pStyle w:val="56"/>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2.2-3:</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3MHz </w:t>
      </w:r>
      <w:r>
        <w:rPr>
          <w:rFonts w:hint="default" w:ascii="Times New Roman" w:hAnsi="Times New Roman" w:cs="Times New Roman"/>
          <w:sz w:val="20"/>
          <w:szCs w:val="20"/>
        </w:rPr>
        <w:t xml:space="preserve">REFSENS for </w:t>
      </w:r>
      <w:r>
        <w:rPr>
          <w:rFonts w:hint="eastAsia" w:ascii="Times New Roman" w:hAnsi="Times New Roman" w:cs="Times New Roman"/>
          <w:sz w:val="20"/>
          <w:szCs w:val="20"/>
          <w:lang w:val="en-US" w:eastAsia="zh-CN"/>
        </w:rPr>
        <w:t>HD-</w:t>
      </w:r>
      <w:r>
        <w:rPr>
          <w:rFonts w:hint="default" w:ascii="Times New Roman" w:hAnsi="Times New Roman" w:cs="Times New Roman"/>
          <w:sz w:val="20"/>
          <w:szCs w:val="20"/>
        </w:rPr>
        <w:t>FDD bands</w:t>
      </w:r>
      <w:r>
        <w:rPr>
          <w:rFonts w:hint="eastAsia" w:ascii="Times New Roman" w:hAnsi="Times New Roman" w:cs="Times New Roman"/>
          <w:sz w:val="20"/>
          <w:szCs w:val="20"/>
          <w:lang w:val="en-US" w:eastAsia="zh-CN"/>
        </w:rPr>
        <w:t xml:space="preserve"> with 2Rx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87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0" w:type="auto"/>
            <w:tcBorders>
              <w:bottom w:val="single" w:color="auto" w:sz="4" w:space="0"/>
            </w:tcBorders>
            <w:shd w:val="clear" w:color="auto" w:fill="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Operating Band</w:t>
            </w:r>
          </w:p>
        </w:tc>
        <w:tc>
          <w:tcPr>
            <w:tcW w:w="0" w:type="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SCS kHz</w:t>
            </w:r>
          </w:p>
        </w:tc>
        <w:tc>
          <w:tcPr>
            <w:tcW w:w="0" w:type="auto"/>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3</w:t>
            </w:r>
            <w:r>
              <w:rPr>
                <w:rFonts w:hint="eastAsia" w:eastAsia="宋体"/>
                <w:lang w:val="en-US" w:eastAsia="zh-CN"/>
              </w:rPr>
              <w:t xml:space="preserve"> </w:t>
            </w:r>
            <w:r>
              <w:rPr>
                <w:rFonts w:eastAsia="PMingLiU"/>
              </w:rPr>
              <w:t>MHz</w:t>
            </w:r>
            <w:r>
              <w:rPr>
                <w:rFonts w:hint="eastAsia" w:eastAsia="宋体"/>
                <w:lang w:val="en-US" w:eastAsia="zh-CN"/>
              </w:rPr>
              <w:t xml:space="preserve"> </w:t>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n26</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cs="Arial"/>
              </w:rPr>
              <w:t>-</w:t>
            </w:r>
            <w:r>
              <w:rPr>
                <w:rFonts w:hint="eastAsia" w:cs="Arial"/>
                <w:lang w:val="en-US"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n28</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val="en-US" w:eastAsia="en-GB"/>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等线" w:cs="Arial"/>
                <w:lang w:eastAsia="en-GB"/>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eastAsia="zh-CN"/>
              </w:rPr>
              <w:t>n</w:t>
            </w:r>
            <w:r>
              <w:rPr>
                <w:lang w:eastAsia="zh-CN"/>
              </w:rPr>
              <w:t>85</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cs="Arial"/>
                <w:szCs w:val="18"/>
                <w:lang w:eastAsia="zh-CN"/>
              </w:rPr>
            </w:pPr>
            <w:r>
              <w:rPr>
                <w:rFonts w:eastAsia="MS Mincho" w:cs="Arial"/>
              </w:rPr>
              <w:t>-99.</w:t>
            </w:r>
            <w:r>
              <w:rPr>
                <w:rFonts w:hint="eastAsia" w:eastAsia="宋体" w:cs="Arial"/>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n100</w:t>
            </w:r>
          </w:p>
        </w:tc>
        <w:tc>
          <w:tcPr>
            <w:tcW w:w="879" w:type="dxa"/>
            <w:vAlign w:val="top"/>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1229" w:type="dxa"/>
            <w:vAlign w:val="center"/>
          </w:tcPr>
          <w:p>
            <w:pPr>
              <w:pStyle w:val="57"/>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cs="Arial"/>
                <w:szCs w:val="18"/>
              </w:rPr>
            </w:pPr>
            <w:r>
              <w:rPr>
                <w:rFonts w:eastAsia="MS Mincho" w:cs="Arial"/>
              </w:rPr>
              <w:t>-102.2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n106</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rPr>
            </w:pPr>
            <w:r>
              <w:rPr>
                <w:rFonts w:hint="eastAsia" w:eastAsia="宋体" w:cs="Arial"/>
                <w:lang w:eastAsia="zh-CN"/>
              </w:rPr>
              <w:t>-99.</w:t>
            </w:r>
            <w:r>
              <w:rPr>
                <w:rFonts w:hint="eastAsia" w:cs="Arial"/>
                <w:lang w:val="en-US" w:eastAsia="zh-CN"/>
              </w:rPr>
              <w:t>7</w:t>
            </w:r>
          </w:p>
        </w:tc>
      </w:tr>
    </w:tbl>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default"/>
          <w:b/>
          <w:bCs/>
          <w:sz w:val="20"/>
          <w:szCs w:val="20"/>
          <w:lang w:val="en-US" w:eastAsia="zh-CN"/>
        </w:rPr>
      </w:pPr>
      <w:r>
        <w:rPr>
          <w:rFonts w:hint="eastAsia"/>
          <w:b/>
          <w:bCs/>
          <w:sz w:val="20"/>
          <w:szCs w:val="20"/>
          <w:lang w:val="en-US" w:eastAsia="zh-CN"/>
        </w:rPr>
        <w:t>Principle 2: to scale from 5MHz REFSENS for HD-FDD (e)RedCap UE with 2Rx, REFSENS can be defined as in Table 2.2-5 for HD-FDD with 2Rx for 3MHz channel bandwidth.</w:t>
      </w:r>
    </w:p>
    <w:p>
      <w:pPr>
        <w:pStyle w:val="56"/>
        <w:rPr>
          <w:rFonts w:hint="eastAsia" w:ascii="Times New Roman" w:hAnsi="Times New Roman" w:cs="Times New Roman"/>
          <w:sz w:val="20"/>
          <w:szCs w:val="20"/>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2.2-5:</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3MHz </w:t>
      </w:r>
      <w:r>
        <w:rPr>
          <w:rFonts w:hint="default" w:ascii="Times New Roman" w:hAnsi="Times New Roman" w:cs="Times New Roman"/>
          <w:sz w:val="20"/>
          <w:szCs w:val="20"/>
        </w:rPr>
        <w:t xml:space="preserve">REFSENS for </w:t>
      </w:r>
      <w:r>
        <w:rPr>
          <w:rFonts w:hint="eastAsia" w:ascii="Times New Roman" w:hAnsi="Times New Roman" w:cs="Times New Roman"/>
          <w:sz w:val="20"/>
          <w:szCs w:val="20"/>
          <w:lang w:val="en-US" w:eastAsia="zh-CN"/>
        </w:rPr>
        <w:t>HD-</w:t>
      </w:r>
      <w:r>
        <w:rPr>
          <w:rFonts w:hint="default" w:ascii="Times New Roman" w:hAnsi="Times New Roman" w:cs="Times New Roman"/>
          <w:sz w:val="20"/>
          <w:szCs w:val="20"/>
        </w:rPr>
        <w:t>FDD bands</w:t>
      </w:r>
      <w:r>
        <w:rPr>
          <w:rFonts w:hint="eastAsia" w:ascii="Times New Roman" w:hAnsi="Times New Roman" w:cs="Times New Roman"/>
          <w:sz w:val="20"/>
          <w:szCs w:val="20"/>
          <w:lang w:val="en-US" w:eastAsia="zh-CN"/>
        </w:rPr>
        <w:t xml:space="preserve"> with 2Rx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87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0" w:type="auto"/>
            <w:tcBorders>
              <w:bottom w:val="single" w:color="auto" w:sz="4" w:space="0"/>
            </w:tcBorders>
            <w:shd w:val="clear" w:color="auto" w:fill="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Operating Band</w:t>
            </w:r>
          </w:p>
        </w:tc>
        <w:tc>
          <w:tcPr>
            <w:tcW w:w="0" w:type="auto"/>
            <w:vAlign w:val="center"/>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SCS kHz</w:t>
            </w:r>
          </w:p>
        </w:tc>
        <w:tc>
          <w:tcPr>
            <w:tcW w:w="0" w:type="auto"/>
          </w:tcPr>
          <w:p>
            <w:pPr>
              <w:pStyle w:val="65"/>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val="en-US" w:eastAsia="zh-CN"/>
              </w:rPr>
              <w:t>3</w:t>
            </w:r>
            <w:r>
              <w:rPr>
                <w:rFonts w:hint="eastAsia" w:eastAsia="宋体"/>
                <w:lang w:val="en-US" w:eastAsia="zh-CN"/>
              </w:rPr>
              <w:t xml:space="preserve"> </w:t>
            </w:r>
            <w:r>
              <w:rPr>
                <w:rFonts w:eastAsia="PMingLiU"/>
              </w:rPr>
              <w:t>MHz</w:t>
            </w:r>
            <w:r>
              <w:rPr>
                <w:rFonts w:hint="eastAsia" w:eastAsia="宋体"/>
                <w:lang w:val="en-US" w:eastAsia="zh-CN"/>
              </w:rPr>
              <w:t xml:space="preserve"> </w:t>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n26</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0" w:type="auto"/>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rPr>
              <w:t>n28</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eastAsia="PMingLiU"/>
                <w:lang w:val="en-US" w:eastAsia="en-GB"/>
              </w:rPr>
              <w:t>15</w:t>
            </w:r>
          </w:p>
        </w:tc>
        <w:tc>
          <w:tcPr>
            <w:tcW w:w="0" w:type="auto"/>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eastAsia="PMingLiU"/>
                <w:lang w:eastAsia="zh-TW"/>
              </w:rPr>
              <w:t>-</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hint="eastAsia"/>
                <w:lang w:eastAsia="zh-CN"/>
              </w:rPr>
              <w:t>n</w:t>
            </w:r>
            <w:r>
              <w:rPr>
                <w:lang w:eastAsia="zh-CN"/>
              </w:rPr>
              <w:t>85</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eastAsia="PMingLiU"/>
              </w:rPr>
            </w:pPr>
            <w:r>
              <w:rPr>
                <w:rFonts w:cs="Arial"/>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eastAsia="PMingLiU"/>
                <w:lang w:eastAsia="zh-TW"/>
              </w:rPr>
              <w:t>-</w:t>
            </w:r>
            <w:r>
              <w:rPr>
                <w:rFonts w:hint="eastAsia" w:eastAsia="宋体"/>
                <w:lang w:val="en-US" w:eastAsia="zh-CN"/>
              </w:rPr>
              <w:t>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n100</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jc w:val="center"/>
        </w:trPr>
        <w:tc>
          <w:tcPr>
            <w:tcW w:w="1491" w:type="dxa"/>
            <w:shd w:val="clear" w:color="auto" w:fill="auto"/>
            <w:vAlign w:val="center"/>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n106</w:t>
            </w:r>
          </w:p>
        </w:tc>
        <w:tc>
          <w:tcPr>
            <w:tcW w:w="87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15</w:t>
            </w:r>
          </w:p>
        </w:tc>
        <w:tc>
          <w:tcPr>
            <w:tcW w:w="1229" w:type="dxa"/>
            <w:vAlign w:val="top"/>
          </w:tcPr>
          <w:p>
            <w:pPr>
              <w:pStyle w:val="57"/>
              <w:keepNext w:val="0"/>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-101.9</w:t>
            </w:r>
          </w:p>
        </w:tc>
      </w:tr>
    </w:tbl>
    <w:p>
      <w:pPr>
        <w:rPr>
          <w:rFonts w:hint="eastAsia"/>
          <w:b/>
          <w:bCs/>
          <w:sz w:val="20"/>
          <w:szCs w:val="20"/>
          <w:lang w:val="en-US" w:eastAsia="zh-CN"/>
        </w:rPr>
      </w:pPr>
      <w:r>
        <w:rPr>
          <w:rFonts w:hint="eastAsia"/>
          <w:b/>
          <w:bCs/>
          <w:sz w:val="20"/>
          <w:szCs w:val="20"/>
          <w:lang w:val="en-US" w:eastAsia="zh-CN"/>
        </w:rPr>
        <w:t>Proposal 3: For 3MHz REFSENS for HD-FDD with 1Rx, we propose to use 2.5dB allowance as a starting point.</w:t>
      </w:r>
    </w:p>
    <w:p>
      <w:pPr>
        <w:rPr>
          <w:rFonts w:hint="eastAsia"/>
          <w:b/>
          <w:bCs/>
          <w:i w:val="0"/>
          <w:iCs w:val="0"/>
          <w:sz w:val="20"/>
          <w:szCs w:val="20"/>
          <w:lang w:val="en-US" w:eastAsia="zh-CN"/>
        </w:rPr>
      </w:pPr>
      <w:r>
        <w:rPr>
          <w:rFonts w:hint="eastAsia"/>
          <w:b/>
          <w:bCs/>
          <w:i w:val="0"/>
          <w:iCs w:val="0"/>
          <w:sz w:val="20"/>
          <w:szCs w:val="20"/>
          <w:lang w:val="en-US" w:eastAsia="zh-CN"/>
        </w:rPr>
        <w:t>Proposal 4: To support less than 5MHz channel bandwidth for (e)RedCap UEs, the following capabilities need to be updated:</w:t>
      </w:r>
    </w:p>
    <w:p>
      <w:pPr>
        <w:pStyle w:val="58"/>
        <w:keepNext/>
        <w:keepLines/>
        <w:pageBreakBefore w:val="0"/>
        <w:widowControl/>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support3MHz-ChannelBW-Asymmetric-r18</w:t>
      </w:r>
    </w:p>
    <w:p>
      <w:pPr>
        <w:pStyle w:val="58"/>
        <w:keepNext/>
        <w:keepLines/>
        <w:pageBreakBefore w:val="0"/>
        <w:widowControl/>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support3MHz-ChannelBW-Symmetric-r18</w:t>
      </w:r>
    </w:p>
    <w:p>
      <w:pPr>
        <w:rPr>
          <w:rFonts w:hint="eastAsia"/>
          <w:b/>
          <w:bCs/>
          <w:i w:val="0"/>
          <w:iCs w:val="0"/>
          <w:sz w:val="20"/>
          <w:szCs w:val="20"/>
          <w:lang w:val="en-US" w:eastAsia="zh-CN"/>
        </w:rPr>
      </w:pPr>
      <w:bookmarkStart w:id="8" w:name="_GoBack"/>
      <w:bookmarkEnd w:id="8"/>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RP-252955, WID: NR Radio Resource Management (RRM) Phase 6, Apple</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F723A5E"/>
    <w:multiLevelType w:val="singleLevel"/>
    <w:tmpl w:val="5F723A5E"/>
    <w:lvl w:ilvl="0" w:tentative="0">
      <w:start w:val="1"/>
      <w:numFmt w:val="decimal"/>
      <w:suff w:val="space"/>
      <w:lvlText w:val="[%1]"/>
      <w:lvlJc w:val="left"/>
    </w:lvl>
  </w:abstractNum>
  <w:abstractNum w:abstractNumId="7">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5"/>
  </w:num>
  <w:num w:numId="4">
    <w:abstractNumId w:val="3"/>
  </w:num>
  <w:num w:numId="5">
    <w:abstractNumId w:val="4"/>
  </w:num>
  <w:num w:numId="6">
    <w:abstractNumId w:val="1"/>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4E7C"/>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B75B6"/>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74107"/>
    <w:rsid w:val="04782230"/>
    <w:rsid w:val="0479507E"/>
    <w:rsid w:val="04894975"/>
    <w:rsid w:val="04922411"/>
    <w:rsid w:val="04A65723"/>
    <w:rsid w:val="04B14B03"/>
    <w:rsid w:val="04CF6607"/>
    <w:rsid w:val="04D46535"/>
    <w:rsid w:val="04D55F04"/>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AC7765"/>
    <w:rsid w:val="06B62C91"/>
    <w:rsid w:val="06B741D9"/>
    <w:rsid w:val="06B756E7"/>
    <w:rsid w:val="06C457B6"/>
    <w:rsid w:val="06CA5532"/>
    <w:rsid w:val="06CD4A70"/>
    <w:rsid w:val="06D27891"/>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7F11D5F"/>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754BE"/>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7F7318"/>
    <w:rsid w:val="0D883C88"/>
    <w:rsid w:val="0D8A6002"/>
    <w:rsid w:val="0D9074CF"/>
    <w:rsid w:val="0D936E72"/>
    <w:rsid w:val="0D966BF7"/>
    <w:rsid w:val="0DB54F84"/>
    <w:rsid w:val="0DB84465"/>
    <w:rsid w:val="0DC43470"/>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5B601F"/>
    <w:rsid w:val="0E6271DF"/>
    <w:rsid w:val="0E6438B9"/>
    <w:rsid w:val="0E6508AA"/>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74C84"/>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0744E2"/>
    <w:rsid w:val="11123EF8"/>
    <w:rsid w:val="11124F2E"/>
    <w:rsid w:val="11125358"/>
    <w:rsid w:val="111F38A5"/>
    <w:rsid w:val="111F6CBE"/>
    <w:rsid w:val="112D2A42"/>
    <w:rsid w:val="113A22DB"/>
    <w:rsid w:val="113B248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023FA"/>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D7D92"/>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684B"/>
    <w:rsid w:val="12AA7237"/>
    <w:rsid w:val="12AB7A32"/>
    <w:rsid w:val="12BB6535"/>
    <w:rsid w:val="12BF2B94"/>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82013"/>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F3820"/>
    <w:rsid w:val="19E24986"/>
    <w:rsid w:val="19E256B5"/>
    <w:rsid w:val="19E54655"/>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5EFE"/>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3D0A7A"/>
    <w:rsid w:val="1C4032AB"/>
    <w:rsid w:val="1C4672ED"/>
    <w:rsid w:val="1C467AB6"/>
    <w:rsid w:val="1C591347"/>
    <w:rsid w:val="1C6277A9"/>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B1886"/>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7E2A34"/>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48070E"/>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AA1FD4"/>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1F523F"/>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7FA4C25"/>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7D4BAB"/>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948BD"/>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B0506"/>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BC4231"/>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93066"/>
    <w:rsid w:val="2FFF08B3"/>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C33162"/>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16551"/>
    <w:rsid w:val="3364318B"/>
    <w:rsid w:val="33691888"/>
    <w:rsid w:val="336A499A"/>
    <w:rsid w:val="33714830"/>
    <w:rsid w:val="33737F51"/>
    <w:rsid w:val="3375654F"/>
    <w:rsid w:val="337964FF"/>
    <w:rsid w:val="337D34FB"/>
    <w:rsid w:val="337E2DAF"/>
    <w:rsid w:val="339C6DF8"/>
    <w:rsid w:val="33A47053"/>
    <w:rsid w:val="33AD5111"/>
    <w:rsid w:val="33BF4199"/>
    <w:rsid w:val="33CC3DCF"/>
    <w:rsid w:val="33CD23A8"/>
    <w:rsid w:val="33CD6498"/>
    <w:rsid w:val="33D7554F"/>
    <w:rsid w:val="33D825FA"/>
    <w:rsid w:val="33DB2AB1"/>
    <w:rsid w:val="33FE62E7"/>
    <w:rsid w:val="34042F5A"/>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A917F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350CF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0043EB"/>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62034"/>
    <w:rsid w:val="3D3768D2"/>
    <w:rsid w:val="3D3A3838"/>
    <w:rsid w:val="3D3D6BBD"/>
    <w:rsid w:val="3D404CC7"/>
    <w:rsid w:val="3D450F8C"/>
    <w:rsid w:val="3D477118"/>
    <w:rsid w:val="3D51285A"/>
    <w:rsid w:val="3D594E54"/>
    <w:rsid w:val="3D5E6151"/>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5D489D"/>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113C7"/>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190A81"/>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56AF2"/>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6C6998"/>
    <w:rsid w:val="4F844A99"/>
    <w:rsid w:val="4F8F6520"/>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D5642"/>
    <w:rsid w:val="514E4912"/>
    <w:rsid w:val="515400FF"/>
    <w:rsid w:val="515441FE"/>
    <w:rsid w:val="515B4E13"/>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7F2070"/>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10238"/>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CD481C"/>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43675"/>
    <w:rsid w:val="57FC0156"/>
    <w:rsid w:val="57FC07D9"/>
    <w:rsid w:val="57FF6992"/>
    <w:rsid w:val="58036FF1"/>
    <w:rsid w:val="580F1B21"/>
    <w:rsid w:val="581B7E79"/>
    <w:rsid w:val="5837438C"/>
    <w:rsid w:val="58420FA1"/>
    <w:rsid w:val="58500F22"/>
    <w:rsid w:val="58587379"/>
    <w:rsid w:val="585D72B5"/>
    <w:rsid w:val="58630C53"/>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2777B4"/>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9359C1"/>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E7729"/>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B017F"/>
    <w:rsid w:val="5E0B0848"/>
    <w:rsid w:val="5E1D4A67"/>
    <w:rsid w:val="5E1F2E4C"/>
    <w:rsid w:val="5E237029"/>
    <w:rsid w:val="5E3358BB"/>
    <w:rsid w:val="5E3A3BD1"/>
    <w:rsid w:val="5E3E6E2C"/>
    <w:rsid w:val="5E410C7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75272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0EE387C"/>
    <w:rsid w:val="61110088"/>
    <w:rsid w:val="611647A0"/>
    <w:rsid w:val="613F2524"/>
    <w:rsid w:val="61421EFD"/>
    <w:rsid w:val="614F6F7E"/>
    <w:rsid w:val="615304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60CE1"/>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1344C"/>
    <w:rsid w:val="633B249F"/>
    <w:rsid w:val="633D1842"/>
    <w:rsid w:val="635123F0"/>
    <w:rsid w:val="63552D76"/>
    <w:rsid w:val="6359778B"/>
    <w:rsid w:val="635B63E3"/>
    <w:rsid w:val="63677698"/>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C635C"/>
    <w:rsid w:val="64941876"/>
    <w:rsid w:val="649B1AC2"/>
    <w:rsid w:val="649B4C1C"/>
    <w:rsid w:val="64A7467B"/>
    <w:rsid w:val="64B53322"/>
    <w:rsid w:val="64C41B57"/>
    <w:rsid w:val="64C4255D"/>
    <w:rsid w:val="64C61AF8"/>
    <w:rsid w:val="64C86505"/>
    <w:rsid w:val="64E65F95"/>
    <w:rsid w:val="64EB5728"/>
    <w:rsid w:val="64FA211B"/>
    <w:rsid w:val="64FB4412"/>
    <w:rsid w:val="64FE700F"/>
    <w:rsid w:val="6500327F"/>
    <w:rsid w:val="6503698F"/>
    <w:rsid w:val="6506609B"/>
    <w:rsid w:val="65083216"/>
    <w:rsid w:val="650A57D3"/>
    <w:rsid w:val="651C29CA"/>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12E2"/>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C13C5"/>
    <w:rsid w:val="69C12919"/>
    <w:rsid w:val="69C71624"/>
    <w:rsid w:val="69D77250"/>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0EBE"/>
    <w:rsid w:val="6CC13ACE"/>
    <w:rsid w:val="6CD63FB3"/>
    <w:rsid w:val="6CD73CDB"/>
    <w:rsid w:val="6CD91323"/>
    <w:rsid w:val="6CE96238"/>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C09B9"/>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2F5C25"/>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8039D"/>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E112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073FA"/>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AE1F54"/>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1E1821"/>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B37FEF"/>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2025-10-03T09:56:11Z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08BC6300A3E5498CBFE427489C9E6D1A</vt:lpwstr>
  </property>
</Properties>
</file>